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color w:val="000000"/>
          <w:szCs w:val="32"/>
        </w:rPr>
      </w:pPr>
      <w:r>
        <w:rPr>
          <w:rFonts w:hint="eastAsia" w:ascii="黑体" w:hAnsi="黑体" w:eastAsia="黑体" w:cs="黑体"/>
          <w:bCs/>
          <w:color w:val="000000"/>
          <w:szCs w:val="32"/>
        </w:rPr>
        <w:t>附件4-1</w:t>
      </w:r>
    </w:p>
    <w:p>
      <w:pPr>
        <w:jc w:val="center"/>
        <w:rPr>
          <w:rFonts w:ascii="方正小标宋简体" w:hAnsi="方正小标宋简体" w:eastAsia="方正小标宋简体" w:cs="方正小标宋简体"/>
          <w:color w:val="000000"/>
          <w:sz w:val="44"/>
          <w:szCs w:val="44"/>
        </w:rPr>
      </w:pPr>
      <w:r>
        <w:rPr>
          <w:rFonts w:hint="eastAsia" w:ascii="华文中宋" w:hAnsi="华文中宋" w:eastAsia="华文中宋" w:cs="华文中宋"/>
          <w:color w:val="000000"/>
          <w:sz w:val="36"/>
          <w:szCs w:val="36"/>
        </w:rPr>
        <w:t>中国新闻奖新闻期刊参评作品推荐表</w:t>
      </w:r>
    </w:p>
    <w:tbl>
      <w:tblPr>
        <w:tblStyle w:val="2"/>
        <w:tblW w:w="10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3943"/>
        <w:gridCol w:w="1276"/>
        <w:gridCol w:w="3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jc w:val="center"/>
        </w:trPr>
        <w:tc>
          <w:tcPr>
            <w:tcW w:w="1313" w:type="dxa"/>
            <w:vMerge w:val="restart"/>
            <w:vAlign w:val="center"/>
          </w:tcPr>
          <w:p>
            <w:pPr>
              <w:spacing w:line="380" w:lineRule="exact"/>
              <w:jc w:val="center"/>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作品标题</w:t>
            </w:r>
          </w:p>
        </w:tc>
        <w:tc>
          <w:tcPr>
            <w:tcW w:w="3943" w:type="dxa"/>
            <w:vMerge w:val="restart"/>
            <w:vAlign w:val="center"/>
          </w:tcPr>
          <w:p>
            <w:pPr>
              <w:spacing w:line="260" w:lineRule="exact"/>
              <w:rPr>
                <w:rFonts w:ascii="仿宋" w:hAnsi="仿宋" w:eastAsia="仿宋"/>
                <w:sz w:val="21"/>
                <w:szCs w:val="21"/>
              </w:rPr>
            </w:pPr>
            <w:r>
              <w:rPr>
                <w:rFonts w:hint="eastAsia" w:ascii="仿宋" w:hAnsi="仿宋" w:eastAsia="仿宋"/>
                <w:sz w:val="21"/>
                <w:szCs w:val="21"/>
              </w:rPr>
              <w:t>“十四冬”为什么选择了内蒙古？</w:t>
            </w:r>
          </w:p>
        </w:tc>
        <w:tc>
          <w:tcPr>
            <w:tcW w:w="1276"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参评项目</w:t>
            </w:r>
          </w:p>
        </w:tc>
        <w:tc>
          <w:tcPr>
            <w:tcW w:w="3866" w:type="dxa"/>
            <w:vAlign w:val="center"/>
          </w:tcPr>
          <w:p>
            <w:pPr>
              <w:spacing w:line="260" w:lineRule="exact"/>
              <w:rPr>
                <w:rFonts w:hint="eastAsia" w:ascii="仿宋" w:hAnsi="仿宋" w:eastAsia="仿宋"/>
                <w:sz w:val="21"/>
                <w:szCs w:val="21"/>
                <w:lang w:eastAsia="zh-CN"/>
              </w:rPr>
            </w:pPr>
            <w:r>
              <w:rPr>
                <w:rFonts w:hint="eastAsia" w:ascii="仿宋" w:hAnsi="仿宋" w:eastAsia="仿宋"/>
                <w:sz w:val="21"/>
                <w:szCs w:val="21"/>
                <w:lang w:val="en-US" w:eastAsia="zh-CN"/>
              </w:rPr>
              <w:t>新闻专题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exact"/>
          <w:jc w:val="center"/>
        </w:trPr>
        <w:tc>
          <w:tcPr>
            <w:tcW w:w="1313" w:type="dxa"/>
            <w:vMerge w:val="continue"/>
            <w:vAlign w:val="center"/>
          </w:tcPr>
          <w:p>
            <w:pPr>
              <w:spacing w:line="380" w:lineRule="exact"/>
              <w:ind w:firstLine="560"/>
              <w:jc w:val="center"/>
              <w:rPr>
                <w:rFonts w:ascii="华文中宋" w:hAnsi="华文中宋" w:eastAsia="华文中宋" w:cs="华文中宋"/>
                <w:color w:val="000000"/>
                <w:sz w:val="24"/>
                <w:szCs w:val="24"/>
              </w:rPr>
            </w:pPr>
          </w:p>
        </w:tc>
        <w:tc>
          <w:tcPr>
            <w:tcW w:w="3943" w:type="dxa"/>
            <w:vMerge w:val="continue"/>
            <w:vAlign w:val="center"/>
          </w:tcPr>
          <w:p>
            <w:pPr>
              <w:spacing w:line="260" w:lineRule="exact"/>
              <w:rPr>
                <w:rFonts w:ascii="仿宋" w:hAnsi="仿宋" w:eastAsia="仿宋"/>
                <w:sz w:val="21"/>
                <w:szCs w:val="21"/>
              </w:rPr>
            </w:pPr>
          </w:p>
        </w:tc>
        <w:tc>
          <w:tcPr>
            <w:tcW w:w="1276"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体裁</w:t>
            </w:r>
          </w:p>
        </w:tc>
        <w:tc>
          <w:tcPr>
            <w:tcW w:w="3866" w:type="dxa"/>
            <w:vAlign w:val="center"/>
          </w:tcPr>
          <w:p>
            <w:pPr>
              <w:spacing w:line="260" w:lineRule="exact"/>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exact"/>
          <w:jc w:val="center"/>
        </w:trPr>
        <w:tc>
          <w:tcPr>
            <w:tcW w:w="1313" w:type="dxa"/>
            <w:vMerge w:val="continue"/>
            <w:vAlign w:val="center"/>
          </w:tcPr>
          <w:p>
            <w:pPr>
              <w:spacing w:line="380" w:lineRule="exact"/>
              <w:ind w:firstLine="560"/>
              <w:jc w:val="center"/>
              <w:rPr>
                <w:rFonts w:ascii="华文中宋" w:hAnsi="华文中宋" w:eastAsia="华文中宋" w:cs="华文中宋"/>
                <w:color w:val="000000"/>
                <w:sz w:val="24"/>
                <w:szCs w:val="24"/>
              </w:rPr>
            </w:pPr>
          </w:p>
        </w:tc>
        <w:tc>
          <w:tcPr>
            <w:tcW w:w="3943" w:type="dxa"/>
            <w:vMerge w:val="continue"/>
            <w:vAlign w:val="center"/>
          </w:tcPr>
          <w:p>
            <w:pPr>
              <w:spacing w:line="260" w:lineRule="exact"/>
              <w:rPr>
                <w:rFonts w:ascii="仿宋" w:hAnsi="仿宋" w:eastAsia="仿宋"/>
                <w:sz w:val="21"/>
                <w:szCs w:val="21"/>
              </w:rPr>
            </w:pPr>
          </w:p>
        </w:tc>
        <w:tc>
          <w:tcPr>
            <w:tcW w:w="1276"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语种</w:t>
            </w:r>
          </w:p>
        </w:tc>
        <w:tc>
          <w:tcPr>
            <w:tcW w:w="3866" w:type="dxa"/>
            <w:vAlign w:val="center"/>
          </w:tcPr>
          <w:p>
            <w:pPr>
              <w:spacing w:line="260" w:lineRule="exact"/>
              <w:rPr>
                <w:rFonts w:hint="eastAsia" w:ascii="仿宋" w:hAnsi="仿宋" w:eastAsia="仿宋"/>
                <w:sz w:val="21"/>
                <w:szCs w:val="21"/>
                <w:lang w:eastAsia="zh-CN"/>
              </w:rPr>
            </w:pPr>
            <w:r>
              <w:rPr>
                <w:rFonts w:hint="eastAsia" w:ascii="仿宋" w:hAnsi="仿宋" w:eastAsia="仿宋"/>
                <w:sz w:val="21"/>
                <w:szCs w:val="21"/>
                <w:lang w:val="en-US"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313" w:type="dxa"/>
            <w:vAlign w:val="center"/>
          </w:tcPr>
          <w:p>
            <w:pPr>
              <w:spacing w:line="320" w:lineRule="exact"/>
              <w:jc w:val="center"/>
              <w:rPr>
                <w:rFonts w:ascii="华文中宋" w:hAnsi="华文中宋" w:eastAsia="华文中宋" w:cs="华文中宋"/>
                <w:color w:val="000000"/>
                <w:spacing w:val="-12"/>
                <w:sz w:val="24"/>
                <w:szCs w:val="24"/>
              </w:rPr>
            </w:pPr>
            <w:r>
              <w:rPr>
                <w:rFonts w:hint="eastAsia" w:ascii="华文中宋" w:hAnsi="华文中宋" w:eastAsia="华文中宋" w:cs="华文中宋"/>
                <w:color w:val="000000"/>
                <w:spacing w:val="-12"/>
                <w:sz w:val="24"/>
                <w:szCs w:val="24"/>
              </w:rPr>
              <w:t>作  者</w:t>
            </w:r>
          </w:p>
          <w:p>
            <w:pPr>
              <w:spacing w:line="320" w:lineRule="exact"/>
              <w:jc w:val="center"/>
              <w:rPr>
                <w:rFonts w:ascii="华文中宋" w:hAnsi="华文中宋" w:eastAsia="华文中宋" w:cs="华文中宋"/>
                <w:color w:val="000000"/>
                <w:spacing w:val="-12"/>
                <w:sz w:val="18"/>
                <w:szCs w:val="18"/>
              </w:rPr>
            </w:pPr>
            <w:r>
              <w:rPr>
                <w:rFonts w:hint="eastAsia" w:ascii="华文中宋" w:hAnsi="华文中宋" w:eastAsia="华文中宋" w:cs="华文中宋"/>
                <w:color w:val="000000"/>
                <w:spacing w:val="-12"/>
                <w:sz w:val="18"/>
                <w:szCs w:val="18"/>
              </w:rPr>
              <w:t>（主创人员）</w:t>
            </w:r>
          </w:p>
        </w:tc>
        <w:tc>
          <w:tcPr>
            <w:tcW w:w="3943" w:type="dxa"/>
            <w:vAlign w:val="center"/>
          </w:tcPr>
          <w:p>
            <w:pPr>
              <w:spacing w:line="260" w:lineRule="exact"/>
              <w:rPr>
                <w:rFonts w:hint="eastAsia" w:ascii="仿宋" w:hAnsi="仿宋" w:eastAsia="仿宋"/>
                <w:sz w:val="21"/>
                <w:szCs w:val="21"/>
              </w:rPr>
            </w:pPr>
            <w:r>
              <w:rPr>
                <w:rFonts w:hint="eastAsia" w:ascii="仿宋" w:hAnsi="仿宋" w:eastAsia="仿宋"/>
                <w:sz w:val="21"/>
                <w:szCs w:val="21"/>
                <w:lang w:val="en-US" w:eastAsia="zh-CN"/>
              </w:rPr>
              <w:t>刘佳、包小婷、崔致瑄</w:t>
            </w:r>
          </w:p>
        </w:tc>
        <w:tc>
          <w:tcPr>
            <w:tcW w:w="1276" w:type="dxa"/>
            <w:vAlign w:val="center"/>
          </w:tcPr>
          <w:p>
            <w:pPr>
              <w:spacing w:line="240" w:lineRule="exact"/>
              <w:jc w:val="center"/>
              <w:rPr>
                <w:rFonts w:ascii="仿宋" w:hAnsi="仿宋" w:eastAsia="仿宋"/>
                <w:color w:val="000000"/>
                <w:w w:val="95"/>
                <w:sz w:val="24"/>
                <w:szCs w:val="24"/>
              </w:rPr>
            </w:pPr>
            <w:r>
              <w:rPr>
                <w:rFonts w:hint="eastAsia" w:ascii="华文中宋" w:hAnsi="华文中宋" w:eastAsia="华文中宋"/>
                <w:color w:val="000000"/>
                <w:sz w:val="24"/>
                <w:szCs w:val="24"/>
              </w:rPr>
              <w:t>编辑</w:t>
            </w:r>
          </w:p>
        </w:tc>
        <w:tc>
          <w:tcPr>
            <w:tcW w:w="3866" w:type="dxa"/>
            <w:vAlign w:val="center"/>
          </w:tcPr>
          <w:p>
            <w:pPr>
              <w:spacing w:line="260" w:lineRule="exact"/>
              <w:rPr>
                <w:rFonts w:ascii="仿宋" w:hAnsi="仿宋" w:eastAsia="仿宋"/>
                <w:sz w:val="21"/>
                <w:szCs w:val="21"/>
              </w:rPr>
            </w:pPr>
            <w:r>
              <w:rPr>
                <w:rFonts w:hint="eastAsia" w:ascii="仿宋" w:hAnsi="仿宋" w:eastAsia="仿宋"/>
                <w:sz w:val="21"/>
                <w:szCs w:val="21"/>
                <w:lang w:val="en-US" w:eastAsia="zh-CN"/>
              </w:rPr>
              <w:t>郭晓旭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1313" w:type="dxa"/>
            <w:vAlign w:val="center"/>
          </w:tcPr>
          <w:p>
            <w:pPr>
              <w:jc w:val="center"/>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原创单位</w:t>
            </w:r>
          </w:p>
        </w:tc>
        <w:tc>
          <w:tcPr>
            <w:tcW w:w="3943" w:type="dxa"/>
            <w:vAlign w:val="center"/>
          </w:tcPr>
          <w:p>
            <w:pPr>
              <w:spacing w:line="260" w:lineRule="exact"/>
              <w:rPr>
                <w:rFonts w:hint="default" w:ascii="仿宋" w:hAnsi="仿宋" w:eastAsia="仿宋"/>
                <w:sz w:val="21"/>
                <w:szCs w:val="21"/>
                <w:lang w:val="en-US" w:eastAsia="zh-CN"/>
              </w:rPr>
            </w:pPr>
            <w:r>
              <w:rPr>
                <w:rFonts w:hint="eastAsia" w:ascii="仿宋" w:hAnsi="仿宋" w:eastAsia="仿宋"/>
                <w:sz w:val="21"/>
                <w:szCs w:val="21"/>
                <w:lang w:val="en-US" w:eastAsia="zh-CN"/>
              </w:rPr>
              <w:t>实践杂志社</w:t>
            </w:r>
          </w:p>
        </w:tc>
        <w:tc>
          <w:tcPr>
            <w:tcW w:w="1276" w:type="dxa"/>
            <w:vAlign w:val="center"/>
          </w:tcPr>
          <w:p>
            <w:pPr>
              <w:spacing w:line="240" w:lineRule="exact"/>
              <w:rPr>
                <w:rFonts w:ascii="仿宋_GB2312" w:hAnsi="仿宋"/>
                <w:color w:val="000000"/>
                <w:sz w:val="21"/>
                <w:szCs w:val="21"/>
                <w:highlight w:val="green"/>
              </w:rPr>
            </w:pPr>
            <w:r>
              <w:rPr>
                <w:rFonts w:hint="eastAsia" w:ascii="华文中宋" w:hAnsi="华文中宋" w:eastAsia="华文中宋"/>
                <w:color w:val="000000"/>
                <w:sz w:val="24"/>
                <w:szCs w:val="24"/>
              </w:rPr>
              <w:t>刊播单位</w:t>
            </w:r>
          </w:p>
        </w:tc>
        <w:tc>
          <w:tcPr>
            <w:tcW w:w="3866" w:type="dxa"/>
            <w:vAlign w:val="center"/>
          </w:tcPr>
          <w:p>
            <w:pPr>
              <w:spacing w:line="260" w:lineRule="exact"/>
              <w:rPr>
                <w:rFonts w:hint="default" w:ascii="仿宋" w:hAnsi="仿宋" w:eastAsia="仿宋"/>
                <w:sz w:val="21"/>
                <w:szCs w:val="21"/>
                <w:lang w:val="en-US" w:eastAsia="zh-CN"/>
              </w:rPr>
            </w:pPr>
            <w:r>
              <w:rPr>
                <w:rFonts w:hint="eastAsia" w:ascii="仿宋" w:hAnsi="仿宋" w:eastAsia="仿宋"/>
                <w:sz w:val="21"/>
                <w:szCs w:val="21"/>
                <w:lang w:val="en-US" w:eastAsia="zh-CN"/>
              </w:rPr>
              <w:t>实践杂志社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exact"/>
          <w:jc w:val="center"/>
        </w:trPr>
        <w:tc>
          <w:tcPr>
            <w:tcW w:w="1313" w:type="dxa"/>
            <w:vAlign w:val="center"/>
          </w:tcPr>
          <w:p>
            <w:pPr>
              <w:spacing w:line="440" w:lineRule="exact"/>
              <w:jc w:val="center"/>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年度刊期</w:t>
            </w:r>
          </w:p>
        </w:tc>
        <w:tc>
          <w:tcPr>
            <w:tcW w:w="3943" w:type="dxa"/>
            <w:vAlign w:val="center"/>
          </w:tcPr>
          <w:p>
            <w:pPr>
              <w:spacing w:line="260" w:lineRule="exact"/>
              <w:rPr>
                <w:rFonts w:hint="default" w:ascii="仿宋" w:hAnsi="仿宋" w:eastAsia="仿宋"/>
                <w:sz w:val="21"/>
                <w:szCs w:val="21"/>
                <w:lang w:val="en-US" w:eastAsia="zh-CN"/>
              </w:rPr>
            </w:pPr>
            <w:r>
              <w:rPr>
                <w:rFonts w:hint="eastAsia" w:ascii="仿宋" w:hAnsi="仿宋" w:eastAsia="仿宋"/>
                <w:sz w:val="21"/>
                <w:szCs w:val="21"/>
                <w:lang w:eastAsia="zh-CN"/>
              </w:rPr>
              <w:t>“</w:t>
            </w:r>
            <w:r>
              <w:rPr>
                <w:rFonts w:hint="eastAsia" w:ascii="仿宋" w:hAnsi="仿宋" w:eastAsia="仿宋"/>
                <w:sz w:val="21"/>
                <w:szCs w:val="21"/>
                <w:lang w:val="en-US" w:eastAsia="zh-CN"/>
              </w:rPr>
              <w:t>实践融媒</w:t>
            </w:r>
            <w:r>
              <w:rPr>
                <w:rFonts w:hint="eastAsia" w:ascii="仿宋" w:hAnsi="仿宋" w:eastAsia="仿宋"/>
                <w:sz w:val="21"/>
                <w:szCs w:val="21"/>
                <w:lang w:eastAsia="zh-CN"/>
              </w:rPr>
              <w:t>”</w:t>
            </w:r>
            <w:r>
              <w:rPr>
                <w:rFonts w:hint="eastAsia" w:ascii="仿宋" w:hAnsi="仿宋" w:eastAsia="仿宋"/>
                <w:sz w:val="21"/>
                <w:szCs w:val="21"/>
                <w:lang w:val="en-US" w:eastAsia="zh-CN"/>
              </w:rPr>
              <w:t>微信公众号</w:t>
            </w:r>
          </w:p>
        </w:tc>
        <w:tc>
          <w:tcPr>
            <w:tcW w:w="1276" w:type="dxa"/>
            <w:vAlign w:val="center"/>
          </w:tcPr>
          <w:p>
            <w:pPr>
              <w:spacing w:line="260" w:lineRule="exact"/>
              <w:rPr>
                <w:rFonts w:ascii="仿宋_GB2312" w:hAnsi="仿宋" w:eastAsia="仿宋"/>
                <w:color w:val="000000"/>
                <w:sz w:val="21"/>
                <w:szCs w:val="21"/>
              </w:rPr>
            </w:pPr>
            <w:r>
              <w:rPr>
                <w:rFonts w:hint="eastAsia" w:ascii="华文中宋" w:hAnsi="华文中宋" w:eastAsia="华文中宋"/>
                <w:color w:val="000000"/>
                <w:sz w:val="24"/>
                <w:szCs w:val="24"/>
              </w:rPr>
              <w:t>刊播日期</w:t>
            </w:r>
          </w:p>
        </w:tc>
        <w:tc>
          <w:tcPr>
            <w:tcW w:w="3866" w:type="dxa"/>
            <w:vAlign w:val="center"/>
          </w:tcPr>
          <w:p>
            <w:pPr>
              <w:spacing w:line="260" w:lineRule="exact"/>
              <w:rPr>
                <w:rFonts w:ascii="仿宋_GB2312" w:hAnsi="仿宋" w:eastAsia="仿宋"/>
                <w:color w:val="000000"/>
                <w:sz w:val="21"/>
                <w:szCs w:val="21"/>
              </w:rPr>
            </w:pPr>
            <w:r>
              <w:rPr>
                <w:rFonts w:hint="eastAsia" w:ascii="仿宋" w:hAnsi="仿宋" w:eastAsia="仿宋"/>
                <w:sz w:val="21"/>
                <w:szCs w:val="21"/>
                <w:lang w:val="en-US" w:eastAsia="zh-CN"/>
              </w:rPr>
              <w:t>2023-12—31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exact"/>
          <w:jc w:val="center"/>
        </w:trPr>
        <w:tc>
          <w:tcPr>
            <w:tcW w:w="1313" w:type="dxa"/>
            <w:vAlign w:val="center"/>
          </w:tcPr>
          <w:p>
            <w:pPr>
              <w:spacing w:line="340" w:lineRule="exact"/>
              <w:rPr>
                <w:rFonts w:ascii="仿宋_GB2312" w:hAnsi="仿宋"/>
                <w:color w:val="000000"/>
                <w:sz w:val="21"/>
                <w:szCs w:val="21"/>
              </w:rPr>
            </w:pPr>
            <w:r>
              <w:rPr>
                <w:rFonts w:hint="eastAsia" w:ascii="华文中宋" w:hAnsi="华文中宋" w:eastAsia="华文中宋"/>
                <w:color w:val="000000"/>
                <w:sz w:val="21"/>
                <w:szCs w:val="21"/>
              </w:rPr>
              <w:t>新媒体作品填报网址</w:t>
            </w:r>
          </w:p>
        </w:tc>
        <w:tc>
          <w:tcPr>
            <w:tcW w:w="3943" w:type="dxa"/>
            <w:vAlign w:val="center"/>
          </w:tcPr>
          <w:p>
            <w:pPr>
              <w:spacing w:line="260" w:lineRule="exact"/>
              <w:rPr>
                <w:rFonts w:hint="eastAsia" w:ascii="华文中宋" w:hAnsi="华文中宋" w:eastAsia="华文中宋"/>
                <w:color w:val="000000"/>
                <w:sz w:val="24"/>
                <w:szCs w:val="24"/>
                <w:lang w:val="en-US" w:eastAsia="zh-CN"/>
              </w:rPr>
            </w:pPr>
            <w:r>
              <w:rPr>
                <w:rFonts w:hint="eastAsia" w:ascii="华文中宋" w:hAnsi="华文中宋" w:eastAsia="华文中宋"/>
                <w:color w:val="000000"/>
                <w:sz w:val="24"/>
                <w:szCs w:val="24"/>
                <w:lang w:val="en-US" w:eastAsia="zh-CN"/>
              </w:rPr>
              <w:fldChar w:fldCharType="begin"/>
            </w:r>
            <w:r>
              <w:rPr>
                <w:rFonts w:hint="eastAsia" w:ascii="华文中宋" w:hAnsi="华文中宋" w:eastAsia="华文中宋"/>
                <w:color w:val="000000"/>
                <w:sz w:val="24"/>
                <w:szCs w:val="24"/>
                <w:lang w:val="en-US" w:eastAsia="zh-CN"/>
              </w:rPr>
              <w:instrText xml:space="preserve"> HYPERLINK "https://mp.weixin.qq.com/s/M_nZXFcsNmPEpL_gpbCmmw" </w:instrText>
            </w:r>
            <w:r>
              <w:rPr>
                <w:rFonts w:hint="eastAsia" w:ascii="华文中宋" w:hAnsi="华文中宋" w:eastAsia="华文中宋"/>
                <w:color w:val="000000"/>
                <w:sz w:val="24"/>
                <w:szCs w:val="24"/>
                <w:lang w:val="en-US" w:eastAsia="zh-CN"/>
              </w:rPr>
              <w:fldChar w:fldCharType="separate"/>
            </w:r>
            <w:r>
              <w:rPr>
                <w:rFonts w:hint="eastAsia" w:ascii="华文中宋" w:hAnsi="华文中宋" w:eastAsia="华文中宋"/>
                <w:color w:val="000000"/>
                <w:sz w:val="24"/>
                <w:szCs w:val="24"/>
                <w:lang w:val="en-US" w:eastAsia="zh-CN"/>
              </w:rPr>
              <w:t>https://mp.weixin.qq.com/s/M_nZXFcsNmPEpL_gpbCmmw</w:t>
            </w:r>
            <w:r>
              <w:rPr>
                <w:rFonts w:hint="eastAsia" w:ascii="华文中宋" w:hAnsi="华文中宋" w:eastAsia="华文中宋"/>
                <w:color w:val="000000"/>
                <w:sz w:val="24"/>
                <w:szCs w:val="24"/>
                <w:lang w:val="en-US" w:eastAsia="zh-CN"/>
              </w:rPr>
              <w:fldChar w:fldCharType="end"/>
            </w:r>
          </w:p>
          <w:p>
            <w:pPr>
              <w:spacing w:line="260" w:lineRule="exact"/>
              <w:rPr>
                <w:rFonts w:hint="eastAsia" w:ascii="华文中宋" w:hAnsi="华文中宋" w:eastAsia="华文中宋"/>
                <w:color w:val="000000"/>
                <w:sz w:val="24"/>
                <w:szCs w:val="24"/>
                <w:lang w:val="en-US" w:eastAsia="zh-CN"/>
              </w:rPr>
            </w:pPr>
          </w:p>
        </w:tc>
        <w:tc>
          <w:tcPr>
            <w:tcW w:w="1276" w:type="dxa"/>
            <w:vAlign w:val="center"/>
          </w:tcPr>
          <w:p>
            <w:pPr>
              <w:spacing w:line="260" w:lineRule="exact"/>
              <w:rPr>
                <w:rFonts w:ascii="华文中宋" w:hAnsi="华文中宋" w:eastAsia="华文中宋"/>
                <w:color w:val="000000"/>
                <w:sz w:val="21"/>
                <w:szCs w:val="21"/>
              </w:rPr>
            </w:pPr>
            <w:r>
              <w:rPr>
                <w:rFonts w:hint="eastAsia" w:ascii="华文中宋" w:hAnsi="华文中宋" w:eastAsia="华文中宋"/>
                <w:color w:val="000000"/>
                <w:sz w:val="21"/>
                <w:szCs w:val="21"/>
              </w:rPr>
              <w:t>字数/时长</w:t>
            </w:r>
          </w:p>
        </w:tc>
        <w:tc>
          <w:tcPr>
            <w:tcW w:w="3866" w:type="dxa"/>
            <w:vAlign w:val="center"/>
          </w:tcPr>
          <w:p>
            <w:pPr>
              <w:spacing w:line="260" w:lineRule="exact"/>
              <w:rPr>
                <w:rFonts w:hint="default" w:ascii="仿宋" w:hAnsi="仿宋" w:eastAsia="仿宋"/>
                <w:sz w:val="21"/>
                <w:szCs w:val="21"/>
                <w:lang w:val="en-US" w:eastAsia="zh-CN"/>
              </w:rPr>
            </w:pPr>
            <w:r>
              <w:rPr>
                <w:rFonts w:hint="eastAsia" w:ascii="仿宋" w:hAnsi="仿宋" w:eastAsia="仿宋"/>
                <w:sz w:val="21"/>
                <w:szCs w:val="21"/>
                <w:lang w:val="en-US" w:eastAsia="zh-CN"/>
              </w:rPr>
              <w:t>3138字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7" w:hRule="atLeast"/>
          <w:jc w:val="center"/>
        </w:trPr>
        <w:tc>
          <w:tcPr>
            <w:tcW w:w="1313" w:type="dxa"/>
            <w:vAlign w:val="center"/>
          </w:tcPr>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作采</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品编</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简过</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介程</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tc>
        <w:tc>
          <w:tcPr>
            <w:tcW w:w="9085" w:type="dxa"/>
            <w:gridSpan w:val="3"/>
            <w:vAlign w:val="center"/>
          </w:tcPr>
          <w:p>
            <w:pPr>
              <w:spacing w:line="240" w:lineRule="exact"/>
              <w:rPr>
                <w:rFonts w:hint="eastAsia" w:ascii="仿宋" w:hAnsi="仿宋" w:eastAsia="仿宋"/>
                <w:color w:val="000000"/>
                <w:sz w:val="24"/>
                <w:szCs w:val="24"/>
              </w:rPr>
            </w:pPr>
          </w:p>
          <w:p>
            <w:pPr>
              <w:spacing w:line="260" w:lineRule="exact"/>
              <w:ind w:firstLine="456" w:firstLineChars="200"/>
              <w:rPr>
                <w:rFonts w:hint="eastAsia" w:ascii="仿宋" w:hAnsi="仿宋" w:eastAsia="仿宋"/>
                <w:color w:val="000000"/>
                <w:w w:val="95"/>
                <w:sz w:val="24"/>
                <w:szCs w:val="24"/>
                <w:lang w:val="en-US" w:eastAsia="zh-CN"/>
              </w:rPr>
            </w:pPr>
            <w:r>
              <w:rPr>
                <w:rFonts w:hint="eastAsia" w:ascii="仿宋" w:hAnsi="仿宋" w:eastAsia="仿宋"/>
                <w:color w:val="000000"/>
                <w:w w:val="95"/>
                <w:sz w:val="24"/>
                <w:szCs w:val="24"/>
                <w:lang w:val="en-US" w:eastAsia="zh-CN"/>
              </w:rPr>
              <w:t>举办</w:t>
            </w:r>
            <w:r>
              <w:rPr>
                <w:rFonts w:hint="eastAsia" w:ascii="仿宋" w:hAnsi="仿宋" w:eastAsia="仿宋"/>
                <w:color w:val="000000"/>
                <w:w w:val="95"/>
                <w:sz w:val="24"/>
                <w:szCs w:val="24"/>
                <w:lang w:eastAsia="zh-CN"/>
              </w:rPr>
              <w:t>“</w:t>
            </w:r>
            <w:r>
              <w:rPr>
                <w:rFonts w:hint="eastAsia" w:ascii="仿宋" w:hAnsi="仿宋" w:eastAsia="仿宋"/>
                <w:color w:val="000000"/>
                <w:w w:val="95"/>
                <w:sz w:val="24"/>
                <w:szCs w:val="24"/>
                <w:lang w:val="en-US" w:eastAsia="zh-CN"/>
              </w:rPr>
              <w:t>十四冬</w:t>
            </w:r>
            <w:r>
              <w:rPr>
                <w:rFonts w:hint="eastAsia" w:ascii="仿宋" w:hAnsi="仿宋" w:eastAsia="仿宋"/>
                <w:color w:val="000000"/>
                <w:w w:val="95"/>
                <w:sz w:val="24"/>
                <w:szCs w:val="24"/>
                <w:lang w:eastAsia="zh-CN"/>
              </w:rPr>
              <w:t>”</w:t>
            </w:r>
            <w:r>
              <w:rPr>
                <w:rFonts w:hint="eastAsia" w:ascii="仿宋" w:hAnsi="仿宋" w:eastAsia="仿宋"/>
                <w:color w:val="000000"/>
                <w:w w:val="95"/>
                <w:sz w:val="24"/>
                <w:szCs w:val="24"/>
                <w:lang w:val="en-US" w:eastAsia="zh-CN"/>
              </w:rPr>
              <w:t>是内蒙古的一件大事，体现了党中央、国务院对内蒙古的关心和厚爱,“是党中央、国务院交给内蒙古的一项重要政治任务。”“十四冬”开幕前夕，实践杂志社围绕“十四冬”策划了一系列融媒体报道，其中《“十四冬”为什么选择了内蒙古》作为独家报道，在实践融媒微信公众号重磅首推，该报道深刻剖析了“十四冬”在内蒙古举办的原因，从内蒙古优越的地理位置、得天独厚的冰雪资源、党和国家的关心厚爱和发展冰雪运动的综合实力，以及内蒙古民族团结的基础和深厚的冰雪文化底蕴等维度，将“十四冬”选择内蒙古的理由娓娓道来，是内蒙古“十四冬”报道中少有的兼具高度与深度的文章，该选题角度新颖，在同类报道中脱颖而出。</w:t>
            </w:r>
          </w:p>
          <w:p>
            <w:pPr>
              <w:spacing w:line="260" w:lineRule="exact"/>
              <w:ind w:firstLine="456" w:firstLineChars="200"/>
              <w:rPr>
                <w:rFonts w:ascii="仿宋" w:hAnsi="仿宋" w:eastAsia="仿宋"/>
                <w:color w:val="000000"/>
                <w:w w:val="95"/>
                <w:sz w:val="24"/>
                <w:szCs w:val="24"/>
              </w:rPr>
            </w:pPr>
            <w:r>
              <w:rPr>
                <w:rFonts w:hint="eastAsia" w:ascii="仿宋" w:hAnsi="仿宋" w:eastAsia="仿宋"/>
                <w:color w:val="000000"/>
                <w:w w:val="95"/>
                <w:sz w:val="24"/>
                <w:szCs w:val="24"/>
                <w:lang w:val="en-US" w:eastAsia="zh-CN"/>
              </w:rPr>
              <w:t>撰写过程中，主创人员大量采访行业相关人员，有各承办比赛场馆负责人、内蒙古体育局参赛专业运动员；同时获取“十四冬”最新进展，如场馆维护及向公众开放利用情况、群众体验和参与情况以及冰雪运动这个冬天带动内蒙古经济发展情况；搜集历史资料，主创人员饱含感情回顾“十四冬”申办历程、翻阅内蒙古培养优秀冰雪运动员的光荣成就、盘点凝结了内蒙古人心血的场馆建设情况……不断完善、六易其稿，2023年12月31日在“实践融媒”微信公众号首发，又在学习强国内蒙古学习平台、“文明内蒙古”微信公众号等实践杂志社各</w:t>
            </w:r>
            <w:bookmarkStart w:id="0" w:name="_GoBack"/>
            <w:bookmarkEnd w:id="0"/>
            <w:r>
              <w:rPr>
                <w:rFonts w:hint="eastAsia" w:ascii="仿宋" w:hAnsi="仿宋" w:eastAsia="仿宋"/>
                <w:color w:val="000000"/>
                <w:w w:val="95"/>
                <w:sz w:val="24"/>
                <w:szCs w:val="24"/>
                <w:lang w:val="en-US" w:eastAsia="zh-CN"/>
              </w:rPr>
              <w:t>平台相继推出，24小时内点击量达到10万+。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0" w:hRule="exact"/>
          <w:jc w:val="center"/>
        </w:trPr>
        <w:tc>
          <w:tcPr>
            <w:tcW w:w="1313"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社</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会</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效</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果</w:t>
            </w:r>
          </w:p>
        </w:tc>
        <w:tc>
          <w:tcPr>
            <w:tcW w:w="9085" w:type="dxa"/>
            <w:gridSpan w:val="3"/>
            <w:vAlign w:val="center"/>
          </w:tcPr>
          <w:p>
            <w:pPr>
              <w:spacing w:line="260" w:lineRule="exact"/>
              <w:ind w:firstLine="420" w:firstLineChars="200"/>
              <w:rPr>
                <w:rFonts w:ascii="仿宋" w:hAnsi="仿宋" w:eastAsia="仿宋"/>
                <w:color w:val="000000"/>
                <w:sz w:val="24"/>
                <w:szCs w:val="24"/>
              </w:rPr>
            </w:pPr>
            <w:r>
              <w:rPr>
                <w:rFonts w:hint="eastAsia" w:ascii="仿宋" w:hAnsi="仿宋" w:eastAsia="仿宋"/>
                <w:sz w:val="21"/>
                <w:szCs w:val="21"/>
                <w:lang w:val="en-US" w:eastAsia="zh-CN"/>
              </w:rPr>
              <w:t>稿件一经发布，实践杂志社各平台24小时内总点击量突破10万+，点赞量又创新高。学习强国总平台第一时间采用该稿件，随后，人民网+客户端转发，内蒙古网信办官方微信公众号“活力内蒙古”，“十四冬”官方网站和微信公众号作为头条转发，内蒙古各盟市媒体转载，该报道在媒体圈和朋友圈内形成“刷屏”之势，“十四冬”大量后续报道纷纷引用该报道内容</w:t>
            </w:r>
            <w:r>
              <w:rPr>
                <w:rFonts w:hint="eastAsia"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3" w:hRule="exact"/>
          <w:jc w:val="center"/>
        </w:trPr>
        <w:tc>
          <w:tcPr>
            <w:tcW w:w="1313"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初推</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评荐</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评理</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语由</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tc>
        <w:tc>
          <w:tcPr>
            <w:tcW w:w="9085" w:type="dxa"/>
            <w:gridSpan w:val="3"/>
            <w:vAlign w:val="center"/>
          </w:tcPr>
          <w:p>
            <w:pPr>
              <w:spacing w:line="260" w:lineRule="exact"/>
              <w:rPr>
                <w:rFonts w:ascii="仿宋" w:hAnsi="仿宋" w:eastAsia="仿宋"/>
                <w:sz w:val="21"/>
                <w:szCs w:val="21"/>
              </w:rPr>
            </w:pPr>
            <w:r>
              <w:rPr>
                <w:rFonts w:hint="eastAsia" w:ascii="仿宋" w:hAnsi="仿宋" w:eastAsia="仿宋"/>
                <w:sz w:val="21"/>
                <w:szCs w:val="21"/>
                <w:lang w:val="en-US" w:eastAsia="zh-CN"/>
              </w:rPr>
              <w:t xml:space="preserve">    稿件立意高远、内容详实，是同类报道中脱颖而出的既有高度又有深度的报道，深刻、贴切地写出了“十四冬”在内蒙古举办的多角度原因，全面反映了内蒙古的人文、自然概况及内蒙古各族群众的精神风貌，推荐参评。</w:t>
            </w:r>
          </w:p>
          <w:p>
            <w:pPr>
              <w:spacing w:line="360" w:lineRule="exact"/>
              <w:rPr>
                <w:rFonts w:hint="eastAsia" w:ascii="华文中宋" w:hAnsi="华文中宋" w:eastAsia="华文中宋"/>
                <w:color w:val="000000"/>
                <w:spacing w:val="-2"/>
                <w:sz w:val="24"/>
                <w:szCs w:val="24"/>
              </w:rPr>
            </w:pPr>
            <w:r>
              <w:rPr>
                <w:rFonts w:hint="eastAsia" w:ascii="华文中宋" w:hAnsi="华文中宋" w:eastAsia="华文中宋"/>
                <w:color w:val="000000"/>
                <w:spacing w:val="-2"/>
                <w:sz w:val="24"/>
                <w:szCs w:val="24"/>
              </w:rPr>
              <w:t xml:space="preserve">                      </w:t>
            </w:r>
          </w:p>
          <w:p>
            <w:pPr>
              <w:spacing w:line="360" w:lineRule="exact"/>
              <w:rPr>
                <w:rFonts w:ascii="华文中宋" w:hAnsi="华文中宋" w:eastAsia="华文中宋"/>
                <w:color w:val="000000"/>
                <w:sz w:val="24"/>
                <w:szCs w:val="24"/>
              </w:rPr>
            </w:pPr>
            <w:r>
              <w:rPr>
                <w:rFonts w:hint="eastAsia" w:ascii="华文中宋" w:hAnsi="华文中宋" w:eastAsia="华文中宋"/>
                <w:color w:val="000000"/>
                <w:spacing w:val="-2"/>
                <w:sz w:val="24"/>
                <w:szCs w:val="24"/>
              </w:rPr>
              <w:t xml:space="preserve">                           签名：</w:t>
            </w:r>
            <w:r>
              <w:rPr>
                <w:rFonts w:hint="eastAsia" w:ascii="华文中宋" w:hAnsi="华文中宋" w:eastAsia="华文中宋"/>
                <w:color w:val="000000"/>
                <w:sz w:val="24"/>
                <w:szCs w:val="24"/>
              </w:rPr>
              <w:t>（盖单位公章）</w:t>
            </w:r>
          </w:p>
          <w:p>
            <w:pPr>
              <w:rPr>
                <w:rFonts w:ascii="仿宋" w:hAnsi="仿宋" w:eastAsia="仿宋"/>
                <w:color w:val="000000"/>
                <w:sz w:val="24"/>
                <w:szCs w:val="24"/>
              </w:rPr>
            </w:pPr>
            <w:r>
              <w:rPr>
                <w:rFonts w:hint="eastAsia" w:ascii="仿宋_GB2312"/>
                <w:color w:val="000000"/>
                <w:sz w:val="24"/>
                <w:szCs w:val="24"/>
              </w:rPr>
              <w:t xml:space="preserve">                                 </w:t>
            </w:r>
            <w:r>
              <w:rPr>
                <w:rFonts w:ascii="华文中宋" w:hAnsi="华文中宋" w:eastAsia="华文中宋"/>
                <w:color w:val="000000"/>
                <w:sz w:val="24"/>
                <w:szCs w:val="24"/>
              </w:rPr>
              <w:t xml:space="preserve">2024年  </w:t>
            </w:r>
            <w:r>
              <w:rPr>
                <w:rFonts w:hint="eastAsia" w:ascii="华文中宋" w:hAnsi="华文中宋" w:eastAsia="华文中宋"/>
                <w:color w:val="000000"/>
                <w:sz w:val="24"/>
                <w:szCs w:val="24"/>
              </w:rPr>
              <w:t>月</w:t>
            </w:r>
            <w:r>
              <w:rPr>
                <w:rFonts w:ascii="华文中宋" w:hAnsi="华文中宋" w:eastAsia="华文中宋"/>
                <w:color w:val="000000"/>
                <w:sz w:val="24"/>
                <w:szCs w:val="24"/>
              </w:rPr>
              <w:t xml:space="preserve">  </w:t>
            </w:r>
            <w:r>
              <w:rPr>
                <w:rFonts w:hint="eastAsia" w:ascii="华文中宋" w:hAnsi="华文中宋" w:eastAsia="华文中宋"/>
                <w:color w:val="000000"/>
                <w:sz w:val="24"/>
                <w:szCs w:val="24"/>
              </w:rPr>
              <w:t>日</w:t>
            </w:r>
          </w:p>
        </w:tc>
      </w:tr>
    </w:tbl>
    <w:p/>
    <w:p>
      <w:pPr>
        <w:jc w:val="both"/>
      </w:pPr>
    </w:p>
    <w:sectPr>
      <w:pgSz w:w="11906" w:h="16838"/>
      <w:pgMar w:top="306" w:right="312" w:bottom="306" w:left="22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2YzNiZWYzZjQ0M2ZmMjhiZWIzYTI4ZDZiODFhOWYifQ=="/>
  </w:docVars>
  <w:rsids>
    <w:rsidRoot w:val="00BD68CE"/>
    <w:rsid w:val="00194629"/>
    <w:rsid w:val="008F4798"/>
    <w:rsid w:val="00BD68CE"/>
    <w:rsid w:val="022C39A3"/>
    <w:rsid w:val="06D6469C"/>
    <w:rsid w:val="09F064E7"/>
    <w:rsid w:val="10C01D89"/>
    <w:rsid w:val="123F4AC3"/>
    <w:rsid w:val="12683DB1"/>
    <w:rsid w:val="14CC4BFB"/>
    <w:rsid w:val="15494825"/>
    <w:rsid w:val="171D3D79"/>
    <w:rsid w:val="1A361E55"/>
    <w:rsid w:val="1A845395"/>
    <w:rsid w:val="1AF8568D"/>
    <w:rsid w:val="264B1F46"/>
    <w:rsid w:val="273E60E2"/>
    <w:rsid w:val="2C1A4B3A"/>
    <w:rsid w:val="3C4C750A"/>
    <w:rsid w:val="3E946F0F"/>
    <w:rsid w:val="4110016F"/>
    <w:rsid w:val="47891B5F"/>
    <w:rsid w:val="599B0128"/>
    <w:rsid w:val="65404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character" w:styleId="4">
    <w:name w:val="Hyperlink"/>
    <w:basedOn w:val="3"/>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132</Words>
  <Characters>755</Characters>
  <Lines>6</Lines>
  <Paragraphs>1</Paragraphs>
  <TotalTime>2</TotalTime>
  <ScaleCrop>false</ScaleCrop>
  <LinksUpToDate>false</LinksUpToDate>
  <CharactersWithSpaces>886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2023-05-16T03:25:00Z</dcterms:created>
  <dc:creator>Administrator</dc:creator>
  <cp:lastModifiedBy>小土豆包子</cp:lastModifiedBy>
  <dcterms:modified xsi:type="dcterms:W3CDTF">2024-03-21T02:31:51Z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901A5941CE9C40A9A6CF62DFDCEC30E6_12</vt:lpwstr>
  </property>
</Properties>
</file>