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sz w:val="44"/>
          <w:szCs w:val="44"/>
        </w:rPr>
      </w:pPr>
      <w:r>
        <w:rPr>
          <w:rFonts w:hint="eastAsia" w:ascii="华文中宋" w:hAnsi="华文中宋" w:eastAsia="华文中宋" w:cs="华文中宋"/>
          <w:color w:val="000000"/>
          <w:sz w:val="36"/>
          <w:szCs w:val="36"/>
        </w:rPr>
        <w:t>中国新闻奖新闻期刊参评作品推荐表</w:t>
      </w:r>
    </w:p>
    <w:tbl>
      <w:tblPr>
        <w:tblStyle w:val="3"/>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943"/>
        <w:gridCol w:w="1276"/>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jc w:val="center"/>
        </w:trPr>
        <w:tc>
          <w:tcPr>
            <w:tcW w:w="1313" w:type="dxa"/>
            <w:vMerge w:val="restart"/>
            <w:vAlign w:val="center"/>
          </w:tcPr>
          <w:p>
            <w:pPr>
              <w:spacing w:line="38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作品标题</w:t>
            </w:r>
          </w:p>
        </w:tc>
        <w:tc>
          <w:tcPr>
            <w:tcW w:w="3943" w:type="dxa"/>
            <w:vMerge w:val="restart"/>
            <w:vAlign w:val="center"/>
          </w:tcPr>
          <w:p>
            <w:pPr>
              <w:spacing w:line="260" w:lineRule="exact"/>
              <w:jc w:val="center"/>
              <w:rPr>
                <w:rFonts w:ascii="仿宋" w:hAnsi="仿宋" w:eastAsia="仿宋"/>
                <w:sz w:val="21"/>
                <w:szCs w:val="21"/>
              </w:rPr>
            </w:pPr>
            <w:r>
              <w:rPr>
                <w:rFonts w:hint="eastAsia" w:ascii="仿宋" w:hAnsi="仿宋" w:eastAsia="仿宋" w:cs="仿宋"/>
                <w:color w:val="000000"/>
                <w:sz w:val="24"/>
                <w:szCs w:val="18"/>
                <w:lang w:val="en-US" w:eastAsia="zh-CN"/>
              </w:rPr>
              <w:t>解码内蒙古建设国家重要农畜产品生产基地的背后</w:t>
            </w: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参评项目</w:t>
            </w:r>
          </w:p>
        </w:tc>
        <w:tc>
          <w:tcPr>
            <w:tcW w:w="3866" w:type="dxa"/>
            <w:vAlign w:val="center"/>
          </w:tcPr>
          <w:p>
            <w:pPr>
              <w:spacing w:line="260" w:lineRule="exact"/>
              <w:rPr>
                <w:rFonts w:ascii="仿宋" w:hAnsi="仿宋" w:eastAsia="仿宋"/>
                <w:sz w:val="21"/>
                <w:szCs w:val="21"/>
              </w:rPr>
            </w:pPr>
            <w:r>
              <w:rPr>
                <w:rFonts w:hint="eastAsia" w:ascii="仿宋" w:hAnsi="仿宋" w:eastAsia="仿宋" w:cs="仿宋"/>
                <w:color w:val="000000"/>
                <w:sz w:val="24"/>
                <w:szCs w:val="18"/>
                <w:lang w:val="en-US" w:eastAsia="zh-CN"/>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体裁</w:t>
            </w:r>
          </w:p>
        </w:tc>
        <w:tc>
          <w:tcPr>
            <w:tcW w:w="3866" w:type="dxa"/>
            <w:vAlign w:val="center"/>
          </w:tcPr>
          <w:p>
            <w:pPr>
              <w:spacing w:line="260" w:lineRule="exact"/>
              <w:rPr>
                <w:rFonts w:ascii="仿宋" w:hAnsi="仿宋" w:eastAsia="仿宋"/>
                <w:sz w:val="21"/>
                <w:szCs w:val="21"/>
              </w:rPr>
            </w:pPr>
            <w:r>
              <w:rPr>
                <w:rFonts w:hint="eastAsia" w:ascii="仿宋" w:hAnsi="仿宋" w:eastAsia="仿宋" w:cs="仿宋"/>
                <w:color w:val="000000"/>
                <w:sz w:val="24"/>
                <w:szCs w:val="18"/>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语种</w:t>
            </w:r>
          </w:p>
        </w:tc>
        <w:tc>
          <w:tcPr>
            <w:tcW w:w="3866" w:type="dxa"/>
            <w:vAlign w:val="center"/>
          </w:tcPr>
          <w:p>
            <w:pPr>
              <w:spacing w:line="260" w:lineRule="exac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13" w:type="dxa"/>
            <w:vAlign w:val="center"/>
          </w:tcPr>
          <w:p>
            <w:pPr>
              <w:spacing w:line="320" w:lineRule="exact"/>
              <w:jc w:val="center"/>
              <w:rPr>
                <w:rFonts w:ascii="华文中宋" w:hAnsi="华文中宋" w:eastAsia="华文中宋" w:cs="华文中宋"/>
                <w:color w:val="000000"/>
                <w:spacing w:val="-12"/>
                <w:sz w:val="24"/>
                <w:szCs w:val="24"/>
              </w:rPr>
            </w:pPr>
            <w:r>
              <w:rPr>
                <w:rFonts w:hint="eastAsia" w:ascii="华文中宋" w:hAnsi="华文中宋" w:eastAsia="华文中宋" w:cs="华文中宋"/>
                <w:color w:val="000000"/>
                <w:spacing w:val="-12"/>
                <w:sz w:val="24"/>
                <w:szCs w:val="24"/>
              </w:rPr>
              <w:t>作  者</w:t>
            </w:r>
          </w:p>
          <w:p>
            <w:pPr>
              <w:spacing w:line="320" w:lineRule="exact"/>
              <w:jc w:val="center"/>
              <w:rPr>
                <w:rFonts w:ascii="华文中宋" w:hAnsi="华文中宋" w:eastAsia="华文中宋" w:cs="华文中宋"/>
                <w:color w:val="000000"/>
                <w:spacing w:val="-12"/>
                <w:sz w:val="18"/>
                <w:szCs w:val="18"/>
              </w:rPr>
            </w:pPr>
            <w:r>
              <w:rPr>
                <w:rFonts w:hint="eastAsia" w:ascii="华文中宋" w:hAnsi="华文中宋" w:eastAsia="华文中宋" w:cs="华文中宋"/>
                <w:color w:val="000000"/>
                <w:spacing w:val="-12"/>
                <w:sz w:val="18"/>
                <w:szCs w:val="18"/>
              </w:rPr>
              <w:t>（主创人员）</w:t>
            </w:r>
          </w:p>
        </w:tc>
        <w:tc>
          <w:tcPr>
            <w:tcW w:w="3943" w:type="dxa"/>
            <w:vAlign w:val="center"/>
          </w:tcPr>
          <w:p>
            <w:pPr>
              <w:spacing w:line="260" w:lineRule="exact"/>
              <w:rPr>
                <w:rFonts w:hint="eastAsia" w:ascii="仿宋" w:hAnsi="仿宋" w:eastAsia="仿宋"/>
                <w:sz w:val="21"/>
                <w:szCs w:val="21"/>
              </w:rPr>
            </w:pPr>
            <w:r>
              <w:rPr>
                <w:rFonts w:hint="default" w:ascii="仿宋" w:hAnsi="仿宋" w:eastAsia="仿宋" w:cs="仿宋"/>
                <w:color w:val="000000"/>
                <w:sz w:val="24"/>
                <w:szCs w:val="18"/>
                <w:lang w:val="en-US" w:eastAsia="zh-CN"/>
              </w:rPr>
              <w:t>王丹</w:t>
            </w:r>
            <w:r>
              <w:rPr>
                <w:rFonts w:hint="eastAsia" w:ascii="仿宋" w:hAnsi="仿宋" w:eastAsia="仿宋" w:cs="仿宋"/>
                <w:color w:val="000000"/>
                <w:sz w:val="24"/>
                <w:szCs w:val="18"/>
                <w:lang w:val="en-US" w:eastAsia="zh-CN"/>
              </w:rPr>
              <w:t>、</w:t>
            </w:r>
            <w:r>
              <w:rPr>
                <w:rFonts w:hint="default" w:ascii="仿宋" w:hAnsi="仿宋" w:eastAsia="仿宋" w:cs="仿宋"/>
                <w:color w:val="000000"/>
                <w:sz w:val="24"/>
                <w:szCs w:val="18"/>
                <w:lang w:val="en-US" w:eastAsia="zh-CN"/>
              </w:rPr>
              <w:t>张晶</w:t>
            </w:r>
            <w:r>
              <w:rPr>
                <w:rFonts w:hint="eastAsia" w:ascii="仿宋" w:hAnsi="仿宋" w:eastAsia="仿宋" w:cs="仿宋"/>
                <w:color w:val="000000"/>
                <w:sz w:val="24"/>
                <w:szCs w:val="18"/>
                <w:lang w:val="en-US" w:eastAsia="zh-CN"/>
              </w:rPr>
              <w:t>、</w:t>
            </w:r>
            <w:r>
              <w:rPr>
                <w:rFonts w:hint="default" w:ascii="仿宋" w:hAnsi="仿宋" w:eastAsia="仿宋" w:cs="仿宋"/>
                <w:color w:val="000000"/>
                <w:sz w:val="24"/>
                <w:szCs w:val="18"/>
                <w:lang w:val="en-US" w:eastAsia="zh-CN"/>
              </w:rPr>
              <w:t>刘秉承</w:t>
            </w:r>
            <w:r>
              <w:rPr>
                <w:rFonts w:hint="eastAsia" w:ascii="仿宋" w:hAnsi="仿宋" w:eastAsia="仿宋" w:cs="仿宋"/>
                <w:color w:val="000000"/>
                <w:sz w:val="24"/>
                <w:szCs w:val="18"/>
                <w:lang w:val="en-US" w:eastAsia="zh-CN"/>
              </w:rPr>
              <w:t>、</w:t>
            </w:r>
            <w:r>
              <w:rPr>
                <w:rFonts w:hint="default" w:ascii="仿宋" w:hAnsi="仿宋" w:eastAsia="仿宋" w:cs="仿宋"/>
                <w:color w:val="000000"/>
                <w:sz w:val="24"/>
                <w:szCs w:val="18"/>
                <w:lang w:val="en-US" w:eastAsia="zh-CN"/>
              </w:rPr>
              <w:t>黄莹</w:t>
            </w:r>
            <w:r>
              <w:rPr>
                <w:rFonts w:hint="eastAsia" w:ascii="仿宋" w:hAnsi="仿宋" w:eastAsia="仿宋" w:cs="仿宋"/>
                <w:color w:val="000000"/>
                <w:sz w:val="24"/>
                <w:szCs w:val="18"/>
                <w:lang w:val="en-US" w:eastAsia="zh-CN"/>
              </w:rPr>
              <w:t>、</w:t>
            </w:r>
            <w:r>
              <w:rPr>
                <w:rFonts w:hint="default" w:ascii="仿宋" w:hAnsi="仿宋" w:eastAsia="仿宋" w:cs="仿宋"/>
                <w:color w:val="000000"/>
                <w:sz w:val="24"/>
                <w:szCs w:val="18"/>
                <w:lang w:val="en-US" w:eastAsia="zh-CN"/>
              </w:rPr>
              <w:t>王婷</w:t>
            </w:r>
            <w:r>
              <w:rPr>
                <w:rFonts w:hint="eastAsia" w:ascii="仿宋" w:hAnsi="仿宋" w:eastAsia="仿宋" w:cs="仿宋"/>
                <w:color w:val="000000"/>
                <w:sz w:val="24"/>
                <w:szCs w:val="18"/>
                <w:lang w:val="en-US" w:eastAsia="zh-CN"/>
              </w:rPr>
              <w:t>、</w:t>
            </w:r>
            <w:r>
              <w:rPr>
                <w:rFonts w:hint="default" w:ascii="仿宋" w:hAnsi="仿宋" w:eastAsia="仿宋" w:cs="仿宋"/>
                <w:color w:val="000000"/>
                <w:sz w:val="24"/>
                <w:szCs w:val="18"/>
                <w:lang w:val="en-US" w:eastAsia="zh-CN"/>
              </w:rPr>
              <w:t>史泽奇</w:t>
            </w:r>
          </w:p>
        </w:tc>
        <w:tc>
          <w:tcPr>
            <w:tcW w:w="1276" w:type="dxa"/>
            <w:vAlign w:val="center"/>
          </w:tcPr>
          <w:p>
            <w:pPr>
              <w:spacing w:line="240" w:lineRule="exact"/>
              <w:jc w:val="center"/>
              <w:rPr>
                <w:rFonts w:ascii="仿宋" w:hAnsi="仿宋" w:eastAsia="仿宋"/>
                <w:color w:val="000000"/>
                <w:w w:val="95"/>
                <w:sz w:val="24"/>
                <w:szCs w:val="24"/>
              </w:rPr>
            </w:pPr>
            <w:r>
              <w:rPr>
                <w:rFonts w:hint="eastAsia" w:ascii="华文中宋" w:hAnsi="华文中宋" w:eastAsia="华文中宋"/>
                <w:color w:val="000000"/>
                <w:sz w:val="24"/>
                <w:szCs w:val="24"/>
              </w:rPr>
              <w:t>编辑</w:t>
            </w:r>
          </w:p>
        </w:tc>
        <w:tc>
          <w:tcPr>
            <w:tcW w:w="3866" w:type="dxa"/>
            <w:vAlign w:val="center"/>
          </w:tcPr>
          <w:p>
            <w:pPr>
              <w:spacing w:line="260" w:lineRule="exact"/>
              <w:rPr>
                <w:rFonts w:ascii="仿宋" w:hAnsi="仿宋" w:eastAsia="仿宋"/>
                <w:sz w:val="21"/>
                <w:szCs w:val="21"/>
              </w:rPr>
            </w:pPr>
            <w:r>
              <w:rPr>
                <w:rFonts w:hint="eastAsia" w:ascii="仿宋" w:hAnsi="仿宋" w:eastAsia="仿宋" w:cs="仿宋"/>
                <w:color w:val="000000"/>
                <w:sz w:val="24"/>
                <w:szCs w:val="18"/>
                <w:lang w:val="en-US" w:eastAsia="zh-CN"/>
              </w:rPr>
              <w:t>集体（吕亚娟、李贵文、张海霞）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313" w:type="dxa"/>
            <w:vAlign w:val="center"/>
          </w:tcPr>
          <w:p>
            <w:pPr>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原创单位</w:t>
            </w:r>
          </w:p>
        </w:tc>
        <w:tc>
          <w:tcPr>
            <w:tcW w:w="3943" w:type="dxa"/>
            <w:vAlign w:val="center"/>
          </w:tcPr>
          <w:p>
            <w:pPr>
              <w:spacing w:line="260" w:lineRule="exact"/>
              <w:rPr>
                <w:rFonts w:hint="eastAsia" w:ascii="仿宋" w:hAnsi="仿宋" w:eastAsia="仿宋"/>
                <w:sz w:val="21"/>
                <w:szCs w:val="21"/>
              </w:rPr>
            </w:pPr>
            <w:r>
              <w:rPr>
                <w:rFonts w:hint="eastAsia" w:ascii="仿宋" w:hAnsi="仿宋" w:eastAsia="仿宋" w:cs="仿宋"/>
                <w:color w:val="000000"/>
                <w:sz w:val="24"/>
                <w:szCs w:val="18"/>
                <w:lang w:val="en-US" w:eastAsia="zh-CN"/>
              </w:rPr>
              <w:t>实践杂志社</w:t>
            </w:r>
          </w:p>
        </w:tc>
        <w:tc>
          <w:tcPr>
            <w:tcW w:w="1276" w:type="dxa"/>
            <w:vAlign w:val="center"/>
          </w:tcPr>
          <w:p>
            <w:pPr>
              <w:spacing w:line="240" w:lineRule="exact"/>
              <w:rPr>
                <w:rFonts w:ascii="仿宋_GB2312" w:hAnsi="仿宋"/>
                <w:color w:val="000000"/>
                <w:sz w:val="21"/>
                <w:szCs w:val="21"/>
                <w:highlight w:val="green"/>
              </w:rPr>
            </w:pPr>
            <w:r>
              <w:rPr>
                <w:rFonts w:hint="eastAsia" w:ascii="华文中宋" w:hAnsi="华文中宋" w:eastAsia="华文中宋"/>
                <w:color w:val="000000"/>
                <w:sz w:val="24"/>
                <w:szCs w:val="24"/>
              </w:rPr>
              <w:t>刊播单位</w:t>
            </w:r>
          </w:p>
        </w:tc>
        <w:tc>
          <w:tcPr>
            <w:tcW w:w="3866" w:type="dxa"/>
            <w:vAlign w:val="center"/>
          </w:tcPr>
          <w:p>
            <w:pPr>
              <w:spacing w:line="260" w:lineRule="exact"/>
              <w:rPr>
                <w:rFonts w:hint="eastAsia" w:ascii="仿宋" w:hAnsi="仿宋" w:eastAsia="仿宋"/>
                <w:sz w:val="21"/>
                <w:szCs w:val="21"/>
              </w:rPr>
            </w:pPr>
            <w:r>
              <w:rPr>
                <w:rFonts w:hint="eastAsia" w:ascii="仿宋" w:hAnsi="仿宋" w:eastAsia="仿宋" w:cs="仿宋"/>
                <w:color w:val="000000"/>
                <w:sz w:val="24"/>
                <w:szCs w:val="18"/>
                <w:lang w:val="en-US" w:eastAsia="zh-CN"/>
              </w:rPr>
              <w:t>实践杂志社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exact"/>
          <w:jc w:val="center"/>
        </w:trPr>
        <w:tc>
          <w:tcPr>
            <w:tcW w:w="1313" w:type="dxa"/>
            <w:vAlign w:val="center"/>
          </w:tcPr>
          <w:p>
            <w:pPr>
              <w:spacing w:line="44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年度刊期</w:t>
            </w:r>
          </w:p>
        </w:tc>
        <w:tc>
          <w:tcPr>
            <w:tcW w:w="3943" w:type="dxa"/>
            <w:vAlign w:val="center"/>
          </w:tcPr>
          <w:p>
            <w:pPr>
              <w:spacing w:line="260" w:lineRule="exact"/>
              <w:rPr>
                <w:rFonts w:ascii="仿宋" w:hAnsi="仿宋" w:eastAsia="仿宋"/>
                <w:sz w:val="21"/>
                <w:szCs w:val="21"/>
              </w:rPr>
            </w:pPr>
            <w:r>
              <w:rPr>
                <w:rFonts w:hint="eastAsia" w:ascii="仿宋" w:hAnsi="仿宋" w:eastAsia="仿宋" w:cs="仿宋"/>
                <w:color w:val="000000"/>
                <w:sz w:val="24"/>
                <w:szCs w:val="18"/>
                <w:lang w:val="en-US" w:eastAsia="zh-CN"/>
              </w:rPr>
              <w:t>《实践》杂志2023年第10期64—67页、11期60—63页、12期46—49页</w:t>
            </w:r>
          </w:p>
        </w:tc>
        <w:tc>
          <w:tcPr>
            <w:tcW w:w="1276" w:type="dxa"/>
            <w:vAlign w:val="center"/>
          </w:tcPr>
          <w:p>
            <w:pPr>
              <w:spacing w:line="260" w:lineRule="exact"/>
              <w:rPr>
                <w:rFonts w:ascii="仿宋_GB2312" w:hAnsi="仿宋" w:eastAsia="仿宋"/>
                <w:color w:val="000000"/>
                <w:sz w:val="21"/>
                <w:szCs w:val="21"/>
              </w:rPr>
            </w:pPr>
            <w:r>
              <w:rPr>
                <w:rFonts w:hint="eastAsia" w:ascii="华文中宋" w:hAnsi="华文中宋" w:eastAsia="华文中宋"/>
                <w:color w:val="000000"/>
                <w:sz w:val="24"/>
                <w:szCs w:val="24"/>
              </w:rPr>
              <w:t>刊播日期</w:t>
            </w:r>
          </w:p>
        </w:tc>
        <w:tc>
          <w:tcPr>
            <w:tcW w:w="3866" w:type="dxa"/>
            <w:vAlign w:val="center"/>
          </w:tcPr>
          <w:p>
            <w:pPr>
              <w:spacing w:line="260" w:lineRule="exact"/>
              <w:jc w:val="left"/>
              <w:rPr>
                <w:rFonts w:ascii="仿宋_GB2312" w:hAnsi="仿宋" w:eastAsia="仿宋"/>
                <w:color w:val="000000"/>
                <w:sz w:val="21"/>
                <w:szCs w:val="21"/>
              </w:rPr>
            </w:pPr>
            <w:r>
              <w:rPr>
                <w:rFonts w:hint="eastAsia" w:ascii="仿宋" w:hAnsi="仿宋" w:eastAsia="仿宋" w:cs="仿宋"/>
                <w:color w:val="000000"/>
                <w:sz w:val="24"/>
                <w:szCs w:val="18"/>
                <w:lang w:val="en-US" w:eastAsia="zh-CN"/>
              </w:rPr>
              <w:t>2023-10-20、2023-11-20、2023-12-20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jc w:val="center"/>
        </w:trPr>
        <w:tc>
          <w:tcPr>
            <w:tcW w:w="1313" w:type="dxa"/>
            <w:vAlign w:val="center"/>
          </w:tcPr>
          <w:p>
            <w:pPr>
              <w:spacing w:line="340" w:lineRule="exact"/>
              <w:rPr>
                <w:rFonts w:ascii="仿宋_GB2312" w:hAnsi="仿宋"/>
                <w:color w:val="000000"/>
                <w:sz w:val="21"/>
                <w:szCs w:val="21"/>
              </w:rPr>
            </w:pPr>
            <w:r>
              <w:rPr>
                <w:rFonts w:hint="eastAsia" w:ascii="华文中宋" w:hAnsi="华文中宋" w:eastAsia="华文中宋"/>
                <w:color w:val="000000"/>
                <w:sz w:val="21"/>
                <w:szCs w:val="21"/>
              </w:rPr>
              <w:t>新媒体作品填报网址</w:t>
            </w:r>
          </w:p>
        </w:tc>
        <w:tc>
          <w:tcPr>
            <w:tcW w:w="3943" w:type="dxa"/>
            <w:vAlign w:val="center"/>
          </w:tcPr>
          <w:p>
            <w:pPr>
              <w:spacing w:line="260" w:lineRule="exact"/>
              <w:rPr>
                <w:rFonts w:ascii="华文中宋" w:hAnsi="华文中宋" w:eastAsia="华文中宋"/>
                <w:color w:val="000000"/>
                <w:sz w:val="24"/>
                <w:szCs w:val="24"/>
              </w:rPr>
            </w:pPr>
          </w:p>
        </w:tc>
        <w:tc>
          <w:tcPr>
            <w:tcW w:w="1276" w:type="dxa"/>
            <w:vAlign w:val="center"/>
          </w:tcPr>
          <w:p>
            <w:pPr>
              <w:spacing w:line="260" w:lineRule="exact"/>
              <w:rPr>
                <w:rFonts w:ascii="华文中宋" w:hAnsi="华文中宋" w:eastAsia="华文中宋"/>
                <w:color w:val="000000"/>
                <w:sz w:val="21"/>
                <w:szCs w:val="21"/>
              </w:rPr>
            </w:pPr>
            <w:r>
              <w:rPr>
                <w:rFonts w:hint="eastAsia" w:ascii="华文中宋" w:hAnsi="华文中宋" w:eastAsia="华文中宋"/>
                <w:color w:val="000000"/>
                <w:sz w:val="21"/>
                <w:szCs w:val="21"/>
              </w:rPr>
              <w:t>字数/时长</w:t>
            </w:r>
          </w:p>
        </w:tc>
        <w:tc>
          <w:tcPr>
            <w:tcW w:w="3866" w:type="dxa"/>
            <w:vAlign w:val="center"/>
          </w:tcPr>
          <w:p>
            <w:pPr>
              <w:spacing w:line="260" w:lineRule="exact"/>
              <w:rPr>
                <w:rFonts w:ascii="仿宋" w:hAnsi="仿宋" w:eastAsia="仿宋"/>
                <w:sz w:val="21"/>
                <w:szCs w:val="21"/>
              </w:rPr>
            </w:pPr>
            <w:r>
              <w:rPr>
                <w:rFonts w:hint="eastAsia" w:ascii="仿宋" w:hAnsi="仿宋" w:eastAsia="仿宋" w:cs="仿宋"/>
                <w:color w:val="000000"/>
                <w:sz w:val="24"/>
                <w:szCs w:val="18"/>
                <w:lang w:val="en-US" w:eastAsia="zh-CN"/>
              </w:rPr>
              <w:t>《“中国奶罐”的背后》5125字；《“中国薯都”的背后》4258字；《种业“中国芯”的背后》4932字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3" w:hRule="atLeast"/>
          <w:jc w:val="center"/>
        </w:trPr>
        <w:tc>
          <w:tcPr>
            <w:tcW w:w="1313" w:type="dxa"/>
            <w:vAlign w:val="center"/>
          </w:tcPr>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作采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品编</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简过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介程</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在习近平总书记的关心关怀下，2023年10月国务院专门出台《关于推动内蒙古高质量发展奋力书写中国式现代化新篇章的意见》，再一次把党中央的温暖送到了北疆大地。围绕贯彻落实《意见》，把国家重要农畜产品生产基地建设得量大质优，《实践》杂志推出“解码内蒙古建设国家重要农畜产品生产基地的背后”系列报道。</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《中国奶罐的背后》以生产要素为切入，展示内蒙古如何充分运用数字化新场景新应用推动奶业数智化发展，加快推进奶业转型升级；</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《中国薯都的背后》以补链强链为切入，展示内蒙古如何以政策动态调整优化，全力支持马铃薯产业做大做强，推进产业全链条发展；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《种业“中国芯”的背后》以科技创新为切入，展示内蒙古如何提升种质资源保护利用、集中资源重点攻坚、构建稳定高效现代育种体系、打造国家级良种繁育基地。</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仿宋" w:hAnsi="仿宋" w:eastAsia="仿宋"/>
                <w:color w:val="000000"/>
                <w:w w:val="95"/>
                <w:sz w:val="28"/>
                <w:szCs w:val="28"/>
              </w:rPr>
            </w:pPr>
            <w:r>
              <w:rPr>
                <w:rFonts w:hint="eastAsia" w:ascii="仿宋" w:hAnsi="仿宋" w:eastAsia="仿宋" w:cs="仿宋"/>
                <w:color w:val="000000"/>
                <w:sz w:val="24"/>
                <w:szCs w:val="18"/>
                <w:lang w:val="en-US" w:eastAsia="zh-CN"/>
              </w:rPr>
              <w:t>该系列作品采写历时3个多月，抓住内蒙古出台《推进奶产业高质量发展若干政策措施》《关于推进马铃薯产业链发展六条政策措施的通知》</w:t>
            </w:r>
            <w:r>
              <w:rPr>
                <w:rFonts w:hint="default" w:ascii="仿宋" w:hAnsi="仿宋" w:eastAsia="仿宋" w:cs="仿宋"/>
                <w:color w:val="000000"/>
                <w:sz w:val="24"/>
                <w:szCs w:val="18"/>
                <w:lang w:val="en-US" w:eastAsia="zh-CN"/>
              </w:rPr>
              <w:fldChar w:fldCharType="begin"/>
            </w:r>
            <w:r>
              <w:rPr>
                <w:rFonts w:hint="default" w:ascii="仿宋" w:hAnsi="仿宋" w:eastAsia="仿宋" w:cs="仿宋"/>
                <w:color w:val="000000"/>
                <w:sz w:val="24"/>
                <w:szCs w:val="18"/>
                <w:lang w:val="en-US" w:eastAsia="zh-CN"/>
              </w:rPr>
              <w:instrText xml:space="preserve"> HYPERLINK "http://www.baidu.com/link?url=3aGpA2CqqL4V_xhkuwfwtS2cMO-Vrd-9J09nlo_d8CdFnByMyqraZ7JLBk8bYImLXkbuzTCvUq4cJde86oK1qnPUDa2GUU3NCkajh4cHn4i" \t "https://www.baidu.com/_blank" </w:instrText>
            </w:r>
            <w:r>
              <w:rPr>
                <w:rFonts w:hint="default" w:ascii="仿宋" w:hAnsi="仿宋" w:eastAsia="仿宋" w:cs="仿宋"/>
                <w:color w:val="000000"/>
                <w:sz w:val="24"/>
                <w:szCs w:val="18"/>
                <w:lang w:val="en-US" w:eastAsia="zh-CN"/>
              </w:rPr>
              <w:fldChar w:fldCharType="separate"/>
            </w:r>
            <w:r>
              <w:rPr>
                <w:rFonts w:hint="default" w:ascii="仿宋" w:hAnsi="仿宋" w:eastAsia="仿宋" w:cs="仿宋"/>
                <w:color w:val="000000"/>
                <w:sz w:val="24"/>
                <w:szCs w:val="18"/>
                <w:lang w:val="en-US" w:eastAsia="zh-CN"/>
              </w:rPr>
              <w:t>《关于支持种业振兴的政策措施》</w:t>
            </w:r>
            <w:r>
              <w:rPr>
                <w:rFonts w:hint="default" w:ascii="仿宋" w:hAnsi="仿宋" w:eastAsia="仿宋" w:cs="仿宋"/>
                <w:color w:val="000000"/>
                <w:sz w:val="24"/>
                <w:szCs w:val="18"/>
                <w:lang w:val="en-US" w:eastAsia="zh-CN"/>
              </w:rPr>
              <w:fldChar w:fldCharType="end"/>
            </w:r>
            <w:r>
              <w:rPr>
                <w:rFonts w:hint="eastAsia" w:ascii="仿宋" w:hAnsi="仿宋" w:eastAsia="仿宋" w:cs="仿宋"/>
                <w:color w:val="000000"/>
                <w:sz w:val="24"/>
                <w:szCs w:val="18"/>
                <w:lang w:val="en-US" w:eastAsia="zh-CN"/>
              </w:rPr>
              <w:t>等政策节点精心策划，深入多地采访，获得大量鲜活生动事例，以实践探析折射内蒙古农牧业高质量发展背后的资源优势、政策支持、科技创新等深层次动因。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9"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社</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会</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果</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仿宋" w:hAnsi="仿宋" w:eastAsia="仿宋"/>
                <w:color w:val="000000"/>
                <w:sz w:val="28"/>
                <w:szCs w:val="28"/>
              </w:rPr>
            </w:pPr>
            <w:r>
              <w:rPr>
                <w:rFonts w:hint="eastAsia" w:ascii="仿宋" w:hAnsi="仿宋" w:eastAsia="仿宋" w:cs="仿宋"/>
                <w:color w:val="000000"/>
                <w:sz w:val="24"/>
                <w:szCs w:val="18"/>
                <w:lang w:val="en-US" w:eastAsia="zh-CN"/>
              </w:rPr>
              <w:t>内蒙古粮食产量全国第六，牛奶、羊肉、牛肉和羊绒产量全国第一，是国家重要农畜产品生产基地，被称为“粮仓”“肉库”“奶罐”“绒都”。该系列作品聚焦内蒙古落实总书记交办的五大任务，结合内蒙古高质量构建现代农牧业发展体系，从中国奶罐、中国薯都、种业“中国芯”的独特视角对内蒙古建设国家重要农畜产品生产基地进行深入宣传报道，为把国家重要农畜产品生产基地建设得量大质优提供有力舆论支持。该系列作品在《实践》杂志、“学习强国”学习平台上推出后被全网转发，获评自治区“宣传内蒙古”奖，产生了良好社会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3"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初推</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评荐</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语由</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 xml:space="preserve">建设国家重要农畜产品生产基地是习近平总书记赋予内蒙古的重大战略定位，是全区上下必须完成好的重大政治任务。该报道聚焦《意见》的贯彻落实，充分展现了内蒙古在国家农畜产品生产加工基地建设上的担当作为，体现了较强的政治敏感性和新闻敏感性，同意推荐。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00000"/>
                <w:sz w:val="24"/>
                <w:szCs w:val="1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color w:val="000000"/>
                <w:sz w:val="28"/>
                <w:szCs w:val="28"/>
              </w:rPr>
            </w:pPr>
            <w:r>
              <w:rPr>
                <w:rFonts w:hint="eastAsia" w:ascii="华文中宋" w:hAnsi="华文中宋" w:eastAsia="华文中宋"/>
                <w:color w:val="000000"/>
                <w:spacing w:val="-2"/>
                <w:sz w:val="28"/>
                <w:szCs w:val="28"/>
              </w:rPr>
              <w:t xml:space="preserve">                           签名：</w:t>
            </w:r>
            <w:r>
              <w:rPr>
                <w:rFonts w:hint="eastAsia" w:ascii="华文中宋" w:hAnsi="华文中宋" w:eastAsia="华文中宋"/>
                <w:color w:val="000000"/>
                <w:sz w:val="28"/>
                <w:szCs w:val="28"/>
              </w:rPr>
              <w:t>（盖单位公章）</w:t>
            </w:r>
          </w:p>
          <w:p>
            <w:pPr>
              <w:keepNext w:val="0"/>
              <w:keepLines w:val="0"/>
              <w:pageBreakBefore w:val="0"/>
              <w:widowControl w:val="0"/>
              <w:kinsoku/>
              <w:wordWrap/>
              <w:overflowPunct/>
              <w:topLinePunct w:val="0"/>
              <w:autoSpaceDE/>
              <w:autoSpaceDN/>
              <w:bidi w:val="0"/>
              <w:adjustRightInd/>
              <w:snapToGrid/>
              <w:spacing w:line="240" w:lineRule="auto"/>
              <w:ind w:firstLine="6440" w:firstLineChars="2300"/>
              <w:textAlignment w:val="auto"/>
              <w:rPr>
                <w:rFonts w:ascii="仿宋" w:hAnsi="仿宋" w:eastAsia="仿宋"/>
                <w:color w:val="000000"/>
                <w:sz w:val="28"/>
                <w:szCs w:val="28"/>
              </w:rPr>
            </w:pPr>
            <w:r>
              <w:rPr>
                <w:rFonts w:ascii="华文中宋" w:hAnsi="华文中宋" w:eastAsia="华文中宋"/>
                <w:color w:val="000000"/>
                <w:sz w:val="28"/>
                <w:szCs w:val="28"/>
              </w:rPr>
              <w:t xml:space="preserve">2024年 </w:t>
            </w:r>
            <w:r>
              <w:rPr>
                <w:rFonts w:hint="default" w:ascii="华文中宋" w:hAnsi="华文中宋" w:eastAsia="华文中宋"/>
                <w:color w:val="000000"/>
                <w:sz w:val="28"/>
                <w:szCs w:val="28"/>
                <w:lang w:val="en"/>
              </w:rPr>
              <w:t xml:space="preserve"> </w:t>
            </w:r>
            <w:r>
              <w:rPr>
                <w:rFonts w:ascii="华文中宋" w:hAnsi="华文中宋" w:eastAsia="华文中宋"/>
                <w:color w:val="000000"/>
                <w:sz w:val="28"/>
                <w:szCs w:val="28"/>
              </w:rPr>
              <w:t xml:space="preserve"> </w:t>
            </w:r>
            <w:r>
              <w:rPr>
                <w:rFonts w:hint="eastAsia" w:ascii="华文中宋" w:hAnsi="华文中宋" w:eastAsia="华文中宋"/>
                <w:color w:val="000000"/>
                <w:sz w:val="28"/>
                <w:szCs w:val="28"/>
              </w:rPr>
              <w:t>月</w:t>
            </w:r>
            <w:r>
              <w:rPr>
                <w:rFonts w:ascii="华文中宋" w:hAnsi="华文中宋" w:eastAsia="华文中宋"/>
                <w:color w:val="000000"/>
                <w:sz w:val="28"/>
                <w:szCs w:val="28"/>
              </w:rPr>
              <w:t xml:space="preserve">  </w:t>
            </w:r>
            <w:r>
              <w:rPr>
                <w:rFonts w:hint="default" w:ascii="华文中宋" w:hAnsi="华文中宋" w:eastAsia="华文中宋"/>
                <w:color w:val="000000"/>
                <w:sz w:val="28"/>
                <w:szCs w:val="28"/>
                <w:lang w:val="en"/>
              </w:rPr>
              <w:t xml:space="preserve"> </w:t>
            </w:r>
            <w:r>
              <w:rPr>
                <w:rFonts w:hint="eastAsia" w:ascii="华文中宋" w:hAnsi="华文中宋" w:eastAsia="华文中宋"/>
                <w:color w:val="000000"/>
                <w:sz w:val="28"/>
                <w:szCs w:val="28"/>
              </w:rPr>
              <w:t>日</w:t>
            </w:r>
          </w:p>
        </w:tc>
      </w:tr>
    </w:tbl>
    <w:p/>
    <w:sectPr>
      <w:pgSz w:w="11906" w:h="16838"/>
      <w:pgMar w:top="306" w:right="312" w:bottom="306" w:left="2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CE"/>
    <w:rsid w:val="00194629"/>
    <w:rsid w:val="008F4798"/>
    <w:rsid w:val="00BD68CE"/>
    <w:rsid w:val="2BDB0D7A"/>
    <w:rsid w:val="5A9B83DC"/>
    <w:rsid w:val="AE7F9649"/>
    <w:rsid w:val="DFF70C11"/>
    <w:rsid w:val="E5FF5B99"/>
    <w:rsid w:val="FA791918"/>
    <w:rsid w:val="FEFFA434"/>
    <w:rsid w:val="FFEF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Emphasis"/>
    <w:basedOn w:val="4"/>
    <w:qFormat/>
    <w:uiPriority w:val="2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Words>
  <Characters>755</Characters>
  <Lines>6</Lines>
  <Paragraphs>1</Paragraphs>
  <TotalTime>16</TotalTime>
  <ScaleCrop>false</ScaleCrop>
  <LinksUpToDate>false</LinksUpToDate>
  <CharactersWithSpaces>886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2023-05-18T19:25:00Z</dcterms:created>
  <dc:creator>Administrator</dc:creator>
  <cp:lastModifiedBy>uos</cp:lastModifiedBy>
  <cp:lastPrinted>2024-03-22T16:57:00Z</cp:lastPrinted>
  <dcterms:modified xsi:type="dcterms:W3CDTF">2024-03-22T15:43:38Z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