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pageBreakBefore w:val="0"/>
        <w:kinsoku/>
        <w:wordWrap/>
        <w:overflowPunct/>
        <w:topLinePunct w:val="0"/>
        <w:bidi w:val="0"/>
        <w:adjustRightInd/>
        <w:spacing w:line="600" w:lineRule="exact"/>
        <w:jc w:val="center"/>
        <w:rPr>
          <w:rFonts w:ascii="Times New Roman" w:hAnsi="Times New Roman"/>
          <w:sz w:val="24"/>
        </w:rPr>
      </w:pPr>
    </w:p>
    <w:p>
      <w:pPr>
        <w:keepLines w:val="0"/>
        <w:pageBreakBefore w:val="0"/>
        <w:kinsoku/>
        <w:wordWrap/>
        <w:overflowPunct/>
        <w:topLinePunct w:val="0"/>
        <w:bidi w:val="0"/>
        <w:adjustRightInd/>
        <w:spacing w:line="600" w:lineRule="exact"/>
        <w:jc w:val="center"/>
        <w:rPr>
          <w:rFonts w:ascii="Times New Roman" w:hAnsi="Times New Roman"/>
          <w:sz w:val="24"/>
        </w:rPr>
      </w:pPr>
    </w:p>
    <w:p>
      <w:pPr>
        <w:keepLines w:val="0"/>
        <w:pageBreakBefore w:val="0"/>
        <w:kinsoku/>
        <w:wordWrap/>
        <w:overflowPunct/>
        <w:topLinePunct w:val="0"/>
        <w:bidi w:val="0"/>
        <w:adjustRightInd/>
        <w:spacing w:line="600" w:lineRule="exact"/>
        <w:jc w:val="center"/>
        <w:rPr>
          <w:rFonts w:ascii="Times New Roman" w:hAnsi="Times New Roman"/>
          <w:sz w:val="24"/>
        </w:rPr>
      </w:pPr>
    </w:p>
    <w:p>
      <w:pPr>
        <w:keepLines w:val="0"/>
        <w:pageBreakBefore w:val="0"/>
        <w:kinsoku/>
        <w:wordWrap/>
        <w:overflowPunct/>
        <w:topLinePunct w:val="0"/>
        <w:bidi w:val="0"/>
        <w:adjustRightInd/>
        <w:spacing w:line="600" w:lineRule="exact"/>
        <w:jc w:val="center"/>
        <w:rPr>
          <w:rFonts w:ascii="Times New Roman" w:hAnsi="Times New Roman"/>
          <w:sz w:val="24"/>
        </w:rPr>
      </w:pPr>
    </w:p>
    <w:p>
      <w:pPr>
        <w:keepLines w:val="0"/>
        <w:pageBreakBefore w:val="0"/>
        <w:kinsoku/>
        <w:wordWrap/>
        <w:overflowPunct/>
        <w:topLinePunct w:val="0"/>
        <w:bidi w:val="0"/>
        <w:adjustRightInd/>
        <w:spacing w:line="600" w:lineRule="exact"/>
        <w:jc w:val="center"/>
        <w:rPr>
          <w:rFonts w:ascii="Times New Roman" w:hAnsi="Times New Roman"/>
          <w:b/>
          <w:bCs/>
          <w:sz w:val="52"/>
          <w:szCs w:val="52"/>
        </w:rPr>
      </w:pPr>
      <w:bookmarkStart w:id="257" w:name="_GoBack"/>
      <w:r>
        <w:rPr>
          <w:rFonts w:ascii="Times New Roman" w:hAnsi="Times New Roman"/>
          <w:b/>
          <w:bCs/>
          <w:sz w:val="52"/>
          <w:szCs w:val="52"/>
        </w:rPr>
        <w:t>2025</w:t>
      </w:r>
      <w:r>
        <w:rPr>
          <w:rFonts w:hint="eastAsia" w:ascii="Times New Roman" w:hAnsi="Times New Roman"/>
          <w:b/>
          <w:bCs/>
          <w:sz w:val="52"/>
          <w:szCs w:val="52"/>
        </w:rPr>
        <w:t>年度实践杂志社</w:t>
      </w:r>
    </w:p>
    <w:p>
      <w:pPr>
        <w:keepLines w:val="0"/>
        <w:pageBreakBefore w:val="0"/>
        <w:kinsoku/>
        <w:wordWrap/>
        <w:overflowPunct/>
        <w:topLinePunct w:val="0"/>
        <w:bidi w:val="0"/>
        <w:adjustRightInd/>
        <w:spacing w:line="600" w:lineRule="exact"/>
        <w:jc w:val="center"/>
        <w:rPr>
          <w:rFonts w:ascii="Times New Roman" w:hAnsi="Times New Roman"/>
          <w:b/>
          <w:bCs/>
          <w:sz w:val="52"/>
          <w:szCs w:val="52"/>
        </w:rPr>
      </w:pPr>
      <w:r>
        <w:rPr>
          <w:rFonts w:hint="eastAsia" w:ascii="Times New Roman" w:hAnsi="Times New Roman"/>
          <w:b/>
          <w:bCs/>
          <w:sz w:val="52"/>
          <w:szCs w:val="52"/>
        </w:rPr>
        <w:t>公开报告</w:t>
      </w:r>
    </w:p>
    <w:bookmarkEnd w:id="257"/>
    <w:p>
      <w:pPr>
        <w:keepLines w:val="0"/>
        <w:pageBreakBefore w:val="0"/>
        <w:kinsoku/>
        <w:wordWrap/>
        <w:overflowPunct/>
        <w:topLinePunct w:val="0"/>
        <w:bidi w:val="0"/>
        <w:adjustRightInd/>
        <w:spacing w:line="600" w:lineRule="exact"/>
        <w:jc w:val="center"/>
        <w:rPr>
          <w:rFonts w:ascii="Times New Roman" w:hAnsi="Times New Roman"/>
          <w:b/>
          <w:bCs/>
          <w:sz w:val="52"/>
          <w:szCs w:val="52"/>
        </w:rPr>
      </w:pPr>
    </w:p>
    <w:p>
      <w:pPr>
        <w:keepLines w:val="0"/>
        <w:pageBreakBefore w:val="0"/>
        <w:kinsoku/>
        <w:wordWrap/>
        <w:overflowPunct/>
        <w:topLinePunct w:val="0"/>
        <w:bidi w:val="0"/>
        <w:adjustRightInd/>
        <w:spacing w:line="600" w:lineRule="exact"/>
        <w:jc w:val="center"/>
        <w:rPr>
          <w:rFonts w:ascii="Times New Roman" w:hAnsi="Times New Roman"/>
          <w:b/>
          <w:bCs/>
          <w:sz w:val="52"/>
          <w:szCs w:val="52"/>
        </w:rPr>
      </w:pPr>
    </w:p>
    <w:p>
      <w:pPr>
        <w:keepLines w:val="0"/>
        <w:pageBreakBefore w:val="0"/>
        <w:kinsoku/>
        <w:wordWrap/>
        <w:overflowPunct/>
        <w:topLinePunct w:val="0"/>
        <w:bidi w:val="0"/>
        <w:adjustRightInd/>
        <w:spacing w:line="600" w:lineRule="exact"/>
        <w:jc w:val="center"/>
        <w:rPr>
          <w:rFonts w:ascii="Times New Roman" w:hAnsi="Times New Roman"/>
          <w:b/>
          <w:bCs/>
          <w:sz w:val="52"/>
          <w:szCs w:val="52"/>
        </w:rPr>
      </w:pPr>
    </w:p>
    <w:p>
      <w:pPr>
        <w:keepLines w:val="0"/>
        <w:pageBreakBefore w:val="0"/>
        <w:kinsoku/>
        <w:wordWrap/>
        <w:overflowPunct/>
        <w:topLinePunct w:val="0"/>
        <w:bidi w:val="0"/>
        <w:adjustRightInd/>
        <w:spacing w:line="600" w:lineRule="exact"/>
        <w:jc w:val="center"/>
        <w:rPr>
          <w:rFonts w:ascii="Times New Roman" w:hAnsi="Times New Roman"/>
          <w:b/>
          <w:bCs/>
          <w:sz w:val="52"/>
          <w:szCs w:val="52"/>
        </w:rPr>
      </w:pPr>
    </w:p>
    <w:p>
      <w:pPr>
        <w:keepLines w:val="0"/>
        <w:pageBreakBefore w:val="0"/>
        <w:kinsoku/>
        <w:wordWrap/>
        <w:overflowPunct/>
        <w:topLinePunct w:val="0"/>
        <w:bidi w:val="0"/>
        <w:adjustRightInd/>
        <w:spacing w:line="600" w:lineRule="exact"/>
        <w:jc w:val="center"/>
        <w:rPr>
          <w:rFonts w:ascii="Times New Roman" w:hAnsi="Times New Roman"/>
          <w:b/>
          <w:bCs/>
          <w:sz w:val="52"/>
          <w:szCs w:val="52"/>
        </w:rPr>
      </w:pPr>
    </w:p>
    <w:p>
      <w:pPr>
        <w:keepLines w:val="0"/>
        <w:pageBreakBefore w:val="0"/>
        <w:kinsoku/>
        <w:wordWrap/>
        <w:overflowPunct/>
        <w:topLinePunct w:val="0"/>
        <w:bidi w:val="0"/>
        <w:adjustRightInd/>
        <w:spacing w:line="600" w:lineRule="exact"/>
        <w:ind w:firstLine="2248" w:firstLineChars="700"/>
        <w:rPr>
          <w:rFonts w:ascii="Times New Roman" w:hAnsi="Times New Roman"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pPr>
        <w:pStyle w:val="31"/>
        <w:keepLines w:val="0"/>
        <w:pageBreakBefore w:val="0"/>
        <w:widowControl/>
        <w:kinsoku/>
        <w:wordWrap/>
        <w:overflowPunct/>
        <w:topLinePunct w:val="0"/>
        <w:bidi w:val="0"/>
        <w:adjustRightInd/>
        <w:spacing w:after="240" w:line="600" w:lineRule="exact"/>
        <w:jc w:val="center"/>
        <w:rPr>
          <w:rFonts w:ascii="Times New Roman" w:hAnsi="Times New Roman" w:eastAsia="Times New Roman" w:cs="Times New Roman"/>
          <w:kern w:val="0"/>
          <w:sz w:val="24"/>
        </w:rPr>
      </w:pPr>
      <w:bookmarkStart w:id="0" w:name="a000"/>
      <w:r>
        <w:rPr>
          <w:rFonts w:ascii="Times New Roman" w:hAnsi="Times New Roman" w:eastAsia="FangSong_GB2312" w:cs="FangSong_GB2312"/>
          <w:b/>
          <w:bCs/>
          <w:kern w:val="0"/>
          <w:sz w:val="48"/>
          <w:szCs w:val="48"/>
        </w:rPr>
        <w:t>目录</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黑体" w:cs="黑体"/>
          <w:kern w:val="0"/>
          <w:sz w:val="32"/>
          <w:szCs w:val="32"/>
        </w:rPr>
        <w:t>第一部分部门概况</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一、主要职能、职责</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二、部门机构设置及决算单位构成情况</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三、</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年度部门主要工作完成情况</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黑体" w:cs="黑体"/>
          <w:kern w:val="0"/>
          <w:sz w:val="32"/>
          <w:szCs w:val="32"/>
        </w:rPr>
        <w:t>第二部分部门决算情况说明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一、收入支出决算总体情况说明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二、收入决算情况说明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三、支出决算情况说明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四、财政拨款收入支出决算总体情况说明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五、一般公共预算财政拨款支出决算情况说明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六、一般公共预算财政拨款基本支出决算情况说明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七、一般公共预算财政拨款项目支出决算情况说明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八、财政拨款“三公”经费支出决算情况说明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九、政府性基金预算财政拨款支出决算情况说明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十、国有资本经营预算财政拨款支出决算情况说明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十一、机关运行经费（公用经费）支出决算情况说明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十二、政府采购支出决算情况说明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十三、国有资产占用情况说明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十四、预算绩效情况说明</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黑体" w:cs="黑体"/>
          <w:kern w:val="0"/>
          <w:sz w:val="32"/>
          <w:szCs w:val="32"/>
        </w:rPr>
        <w:t>第三部分名词解释</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黑体" w:cs="黑体"/>
          <w:kern w:val="0"/>
          <w:sz w:val="32"/>
          <w:szCs w:val="32"/>
        </w:rPr>
        <w:t>第四部分决算公开联系方式及信息反馈渠道</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黑体" w:cs="黑体"/>
          <w:kern w:val="0"/>
          <w:sz w:val="32"/>
          <w:szCs w:val="32"/>
        </w:rPr>
        <w:t>第五部分部门决算表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一、收入支出决算总表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二、收入决算表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三、支出决算表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四、财政拨款收入支出决算总表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五、一般公共预算财政拨款支出决算表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六、一般公共预算财政拨款基本支出决算明细表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七、一般公共预算财政拨款项目支出决算明细表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八、政府性基金预算财政拨款收入支出决算表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九、国有资本经营预算财政拨款收入支出决算表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十、财政拨款“三公”经费支出决算表</w:t>
      </w:r>
    </w:p>
    <w:p>
      <w:pPr>
        <w:pStyle w:val="31"/>
        <w:keepLines w:val="0"/>
        <w:pageBreakBefore w:val="0"/>
        <w:widowControl/>
        <w:kinsoku/>
        <w:wordWrap/>
        <w:overflowPunct/>
        <w:topLinePunct w:val="0"/>
        <w:bidi w:val="0"/>
        <w:adjustRightInd/>
        <w:spacing w:before="240" w:after="240" w:line="600" w:lineRule="exact"/>
        <w:jc w:val="left"/>
        <w:rPr>
          <w:rFonts w:ascii="Times New Roman" w:hAnsi="Times New Roman" w:eastAsia="FangSong_GB2312" w:cs="FangSong_GB2312"/>
          <w:kern w:val="0"/>
          <w:sz w:val="32"/>
          <w:szCs w:val="32"/>
        </w:rPr>
      </w:pPr>
      <w:r>
        <w:rPr>
          <w:rFonts w:ascii="Times New Roman" w:hAnsi="Times New Roman" w:eastAsia="FangSong_GB2312" w:cs="FangSong_GB2312"/>
          <w:kern w:val="0"/>
          <w:sz w:val="32"/>
          <w:szCs w:val="32"/>
        </w:rPr>
        <w:t>十一、机关运行经费支出、国有资产占用情况及政府采购支出信息表</w:t>
      </w:r>
    </w:p>
    <w:p>
      <w:pPr>
        <w:rPr>
          <w:rFonts w:ascii="Times New Roman" w:hAnsi="Times New Roman" w:eastAsia="方正小标宋简体" w:cs="方正小标宋简体"/>
          <w:b w:val="0"/>
          <w:bCs w:val="0"/>
          <w:kern w:val="0"/>
          <w:sz w:val="44"/>
          <w:szCs w:val="44"/>
        </w:rPr>
      </w:pPr>
      <w:r>
        <w:rPr>
          <w:rFonts w:ascii="Times New Roman" w:hAnsi="Times New Roman" w:eastAsia="FangSong_GB2312" w:cs="FangSong_GB2312"/>
          <w:kern w:val="0"/>
          <w:sz w:val="32"/>
          <w:szCs w:val="32"/>
        </w:rPr>
        <w:br w:type="page"/>
      </w:r>
    </w:p>
    <w:p>
      <w:pPr>
        <w:pStyle w:val="3"/>
        <w:keepNext w:val="0"/>
        <w:keepLines w:val="0"/>
        <w:pageBreakBefore w:val="0"/>
        <w:widowControl/>
        <w:kinsoku/>
        <w:wordWrap/>
        <w:overflowPunct/>
        <w:topLinePunct w:val="0"/>
        <w:bidi w:val="0"/>
        <w:adjustRightInd/>
        <w:spacing w:before="0" w:after="0" w:line="600" w:lineRule="exact"/>
        <w:ind w:left="0" w:right="0"/>
        <w:jc w:val="center"/>
        <w:rPr>
          <w:rFonts w:ascii="Times New Roman" w:hAnsi="Times New Roman" w:eastAsia="Times New Roman" w:cs="Times New Roman"/>
          <w:b/>
          <w:bCs/>
          <w:kern w:val="0"/>
          <w:sz w:val="36"/>
          <w:szCs w:val="36"/>
        </w:rPr>
      </w:pPr>
      <w:r>
        <w:rPr>
          <w:rFonts w:ascii="Times New Roman" w:hAnsi="Times New Roman" w:eastAsia="方正小标宋简体" w:cs="方正小标宋简体"/>
          <w:b w:val="0"/>
          <w:bCs w:val="0"/>
          <w:kern w:val="0"/>
          <w:sz w:val="36"/>
          <w:szCs w:val="36"/>
        </w:rPr>
        <w:t>第一部分</w:t>
      </w:r>
      <w:r>
        <w:rPr>
          <w:rFonts w:hint="eastAsia" w:ascii="Times New Roman" w:hAnsi="Times New Roman" w:eastAsia="方正小标宋简体" w:cs="方正小标宋简体"/>
          <w:b w:val="0"/>
          <w:bCs w:val="0"/>
          <w:kern w:val="0"/>
          <w:sz w:val="36"/>
          <w:szCs w:val="36"/>
          <w:lang w:val="en-US" w:eastAsia="zh-CN"/>
        </w:rPr>
        <w:t xml:space="preserve"> </w:t>
      </w:r>
      <w:r>
        <w:rPr>
          <w:rFonts w:ascii="Times New Roman" w:hAnsi="Times New Roman" w:eastAsia="方正小标宋简体" w:cs="方正小标宋简体"/>
          <w:b w:val="0"/>
          <w:bCs w:val="0"/>
          <w:kern w:val="0"/>
          <w:sz w:val="36"/>
          <w:szCs w:val="36"/>
        </w:rPr>
        <w:t>部门概况</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一、主要职能、职责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FangSong_GB2312" w:cs="FangSong_GB2312"/>
          <w:kern w:val="0"/>
          <w:sz w:val="32"/>
          <w:szCs w:val="32"/>
          <w:lang w:val="en-US" w:eastAsia="zh-CN" w:bidi="ar-SA"/>
        </w:rPr>
      </w:pPr>
      <w:r>
        <w:rPr>
          <w:rFonts w:hint="eastAsia" w:ascii="Times New Roman" w:hAnsi="Times New Roman" w:eastAsia="FangSong_GB2312" w:cs="FangSong_GB2312"/>
          <w:kern w:val="0"/>
          <w:sz w:val="32"/>
          <w:szCs w:val="32"/>
          <w:lang w:val="en-US" w:eastAsia="zh-CN" w:bidi="ar-SA"/>
        </w:rPr>
        <w:t>实践杂志社是中共内蒙古自治区委员会直属的正厅级事业单位。杂志社坚持围绕中心、服务大局，充分运用《实践》期刊、网站、“学习强国”内蒙古学习平台等宣传渠道,推进传播形式和语态创新，打造高传播力传播端，发挥党刊宣传引领作用，推动党的创新理论飞入寻常百姓家。</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二、部门机构设置及决算单位构成情况</w:t>
      </w:r>
    </w:p>
    <w:p>
      <w:pPr>
        <w:pStyle w:val="31"/>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rPr>
      </w:pPr>
      <w:r>
        <w:rPr>
          <w:rFonts w:ascii="Times New Roman" w:hAnsi="Times New Roman" w:eastAsia="Times New Roman"/>
          <w:kern w:val="0"/>
          <w:sz w:val="32"/>
          <w:szCs w:val="32"/>
          <w:lang w:eastAsia="en-US"/>
        </w:rPr>
        <w:t>1</w:t>
      </w:r>
      <w:r>
        <w:rPr>
          <w:rFonts w:ascii="Times New Roman" w:hAnsi="Times New Roman" w:eastAsia="FangSong_GB2312" w:cs="FangSong_GB2312"/>
          <w:kern w:val="0"/>
          <w:sz w:val="32"/>
          <w:szCs w:val="32"/>
          <w:lang w:eastAsia="en-US"/>
        </w:rPr>
        <w:t>.</w:t>
      </w:r>
      <w:r>
        <w:rPr>
          <w:rFonts w:hint="eastAsia" w:ascii="Times New Roman" w:hAnsi="Times New Roman" w:eastAsia="FangSong_GB2312" w:cs="FangSong_GB2312"/>
          <w:kern w:val="0"/>
          <w:sz w:val="32"/>
          <w:szCs w:val="32"/>
        </w:rPr>
        <w:t>根据部门职责分工，本部门内设机构包括办公室、总编室、评论部、第一编辑部、第二编辑部、第三编辑部、“学习强国”内蒙古学习平台服务中心、融媒体产品制作传播部、通联部、党群工作部和离退休人员工作处（人事处）。本部门无下属单位。</w:t>
      </w:r>
    </w:p>
    <w:p>
      <w:pPr>
        <w:pStyle w:val="31"/>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rPr>
      </w:pPr>
      <w:r>
        <w:rPr>
          <w:rFonts w:hint="eastAsia" w:ascii="Times New Roman" w:hAnsi="Times New Roman" w:eastAsia="FangSong_GB2312" w:cs="FangSong_GB2312"/>
          <w:kern w:val="0"/>
          <w:sz w:val="32"/>
          <w:szCs w:val="32"/>
          <w:lang w:eastAsia="en-US"/>
        </w:rPr>
        <w:t>2.</w:t>
      </w:r>
      <w:r>
        <w:rPr>
          <w:rFonts w:hint="eastAsia" w:ascii="Times New Roman" w:hAnsi="Times New Roman" w:eastAsia="FangSong_GB2312" w:cs="FangSong_GB2312"/>
          <w:kern w:val="0"/>
          <w:sz w:val="32"/>
          <w:szCs w:val="32"/>
        </w:rPr>
        <w:t>从决算单位构成看，纳入本财政汇总决算编制范围的预算单位共计</w:t>
      </w:r>
      <w:r>
        <w:rPr>
          <w:rFonts w:hint="eastAsia" w:ascii="Times New Roman" w:hAnsi="Times New Roman" w:eastAsia="FangSong_GB2312" w:cs="FangSong_GB2312"/>
          <w:kern w:val="0"/>
          <w:sz w:val="32"/>
          <w:szCs w:val="32"/>
          <w:lang w:val="en-US" w:eastAsia="zh-CN"/>
        </w:rPr>
        <w:t>1</w:t>
      </w:r>
      <w:r>
        <w:rPr>
          <w:rFonts w:hint="eastAsia" w:ascii="Times New Roman" w:hAnsi="Times New Roman" w:eastAsia="FangSong_GB2312" w:cs="FangSong_GB2312"/>
          <w:kern w:val="0"/>
          <w:sz w:val="32"/>
          <w:szCs w:val="32"/>
        </w:rPr>
        <w:t>家，具体包括：</w:t>
      </w:r>
      <w:r>
        <w:rPr>
          <w:rFonts w:hint="eastAsia" w:ascii="Times New Roman" w:hAnsi="Times New Roman" w:eastAsia="FangSong_GB2312" w:cs="FangSong_GB2312"/>
          <w:kern w:val="0"/>
          <w:sz w:val="32"/>
          <w:szCs w:val="32"/>
          <w:lang w:val="en-US" w:eastAsia="zh-CN"/>
        </w:rPr>
        <w:t>实践杂志社</w:t>
      </w:r>
      <w:r>
        <w:rPr>
          <w:rFonts w:hint="eastAsia" w:ascii="Times New Roman" w:hAnsi="Times New Roman" w:eastAsia="FangSong_GB2312" w:cs="FangSong_GB2312"/>
          <w:kern w:val="0"/>
          <w:sz w:val="32"/>
          <w:szCs w:val="32"/>
        </w:rPr>
        <w:t>部门本级。详细情况见表：</w:t>
      </w:r>
    </w:p>
    <w:tbl>
      <w:tblPr>
        <w:tblStyle w:val="21"/>
        <w:tblW w:w="7080" w:type="dxa"/>
        <w:jc w:val="center"/>
        <w:tblLayout w:type="fixed"/>
        <w:tblCellMar>
          <w:top w:w="15" w:type="dxa"/>
          <w:left w:w="15" w:type="dxa"/>
          <w:bottom w:w="15" w:type="dxa"/>
          <w:right w:w="15" w:type="dxa"/>
        </w:tblCellMar>
      </w:tblPr>
      <w:tblGrid>
        <w:gridCol w:w="949"/>
        <w:gridCol w:w="1494"/>
        <w:gridCol w:w="4637"/>
      </w:tblGrid>
      <w:tr>
        <w:tblPrEx>
          <w:tblCellMar>
            <w:top w:w="15" w:type="dxa"/>
            <w:left w:w="15" w:type="dxa"/>
            <w:bottom w:w="15" w:type="dxa"/>
            <w:right w:w="15" w:type="dxa"/>
          </w:tblCellMar>
        </w:tblPrEx>
        <w:trPr>
          <w:trHeight w:val="479" w:hRule="atLeast"/>
          <w:tblHeader/>
          <w:jc w:val="center"/>
        </w:trPr>
        <w:tc>
          <w:tcPr>
            <w:tcW w:w="94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Times New Roman" w:cs="Times New Roman"/>
                <w:b w:val="0"/>
                <w:bCs w:val="0"/>
                <w:i w:val="0"/>
                <w:iCs w:val="0"/>
                <w:smallCaps w:val="0"/>
                <w:color w:val="000000"/>
                <w:kern w:val="0"/>
                <w:sz w:val="24"/>
              </w:rPr>
            </w:pPr>
            <w:r>
              <w:rPr>
                <w:rFonts w:hint="eastAsia" w:ascii="Times New Roman" w:hAnsi="Times New Roman" w:eastAsia="FangSong_GB2312" w:cs="FangSong_GB2312"/>
                <w:b w:val="0"/>
                <w:bCs w:val="0"/>
                <w:i w:val="0"/>
                <w:iCs w:val="0"/>
                <w:smallCaps w:val="0"/>
                <w:color w:val="000000"/>
                <w:kern w:val="0"/>
                <w:sz w:val="24"/>
                <w:lang w:val="en-US" w:eastAsia="zh-CN"/>
              </w:rPr>
              <w:t>序</w:t>
            </w:r>
            <w:r>
              <w:rPr>
                <w:rFonts w:ascii="Times New Roman" w:hAnsi="Times New Roman" w:eastAsia="FangSong_GB2312" w:cs="FangSong_GB2312"/>
                <w:b w:val="0"/>
                <w:bCs w:val="0"/>
                <w:i w:val="0"/>
                <w:iCs w:val="0"/>
                <w:smallCaps w:val="0"/>
                <w:color w:val="000000"/>
                <w:kern w:val="0"/>
                <w:sz w:val="24"/>
              </w:rPr>
              <w:t>号</w:t>
            </w:r>
          </w:p>
        </w:tc>
        <w:tc>
          <w:tcPr>
            <w:tcW w:w="1494"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Times New Roman" w:cs="Times New Roman"/>
                <w:b w:val="0"/>
                <w:bCs w:val="0"/>
                <w:i w:val="0"/>
                <w:iCs w:val="0"/>
                <w:smallCaps w:val="0"/>
                <w:color w:val="000000"/>
                <w:kern w:val="0"/>
                <w:sz w:val="24"/>
              </w:rPr>
            </w:pPr>
            <w:r>
              <w:rPr>
                <w:rFonts w:ascii="Times New Roman" w:hAnsi="Times New Roman" w:eastAsia="FangSong_GB2312" w:cs="FangSong_GB2312"/>
                <w:b w:val="0"/>
                <w:bCs w:val="0"/>
                <w:i w:val="0"/>
                <w:iCs w:val="0"/>
                <w:smallCaps w:val="0"/>
                <w:color w:val="000000"/>
                <w:kern w:val="0"/>
                <w:sz w:val="24"/>
              </w:rPr>
              <w:t>单位名称</w:t>
            </w:r>
          </w:p>
        </w:tc>
        <w:tc>
          <w:tcPr>
            <w:tcW w:w="4637"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Times New Roman" w:cs="Times New Roman"/>
                <w:b w:val="0"/>
                <w:bCs w:val="0"/>
                <w:i w:val="0"/>
                <w:iCs w:val="0"/>
                <w:smallCaps w:val="0"/>
                <w:color w:val="000000"/>
                <w:kern w:val="0"/>
                <w:sz w:val="24"/>
              </w:rPr>
            </w:pPr>
            <w:r>
              <w:rPr>
                <w:rFonts w:ascii="Times New Roman" w:hAnsi="Times New Roman" w:eastAsia="FangSong_GB2312" w:cs="FangSong_GB2312"/>
                <w:b w:val="0"/>
                <w:bCs w:val="0"/>
                <w:i w:val="0"/>
                <w:iCs w:val="0"/>
                <w:smallCaps w:val="0"/>
                <w:color w:val="000000"/>
                <w:kern w:val="0"/>
                <w:sz w:val="24"/>
              </w:rPr>
              <w:t>单位性质</w:t>
            </w:r>
          </w:p>
        </w:tc>
      </w:tr>
      <w:tr>
        <w:tblPrEx>
          <w:tblCellMar>
            <w:top w:w="15" w:type="dxa"/>
            <w:left w:w="15" w:type="dxa"/>
            <w:bottom w:w="15" w:type="dxa"/>
            <w:right w:w="15" w:type="dxa"/>
          </w:tblCellMar>
        </w:tblPrEx>
        <w:trPr>
          <w:trHeight w:val="551" w:hRule="atLeast"/>
          <w:jc w:val="center"/>
        </w:trPr>
        <w:tc>
          <w:tcPr>
            <w:tcW w:w="94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Times New Roman" w:cs="Times New Roman"/>
                <w:b w:val="0"/>
                <w:bCs w:val="0"/>
                <w:i w:val="0"/>
                <w:iCs w:val="0"/>
                <w:smallCaps w:val="0"/>
                <w:color w:val="000000"/>
                <w:kern w:val="0"/>
                <w:sz w:val="24"/>
              </w:rPr>
            </w:pPr>
            <w:r>
              <w:rPr>
                <w:rFonts w:ascii="Times New Roman" w:hAnsi="Times New Roman" w:eastAsia="Times New Roman"/>
                <w:b w:val="0"/>
                <w:bCs w:val="0"/>
                <w:i w:val="0"/>
                <w:iCs w:val="0"/>
                <w:smallCaps w:val="0"/>
                <w:color w:val="000000"/>
                <w:kern w:val="0"/>
                <w:sz w:val="32"/>
                <w:szCs w:val="32"/>
              </w:rPr>
              <w:t>1</w:t>
            </w:r>
          </w:p>
        </w:tc>
        <w:tc>
          <w:tcPr>
            <w:tcW w:w="1494"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Times New Roman" w:cs="Times New Roman"/>
                <w:b w:val="0"/>
                <w:bCs w:val="0"/>
                <w:i w:val="0"/>
                <w:iCs w:val="0"/>
                <w:smallCaps w:val="0"/>
                <w:color w:val="000000"/>
                <w:kern w:val="0"/>
                <w:sz w:val="24"/>
              </w:rPr>
            </w:pPr>
            <w:r>
              <w:rPr>
                <w:rFonts w:hint="eastAsia" w:ascii="Times New Roman" w:hAnsi="Times New Roman" w:eastAsia="方正仿宋_GB2312" w:cs="方正仿宋_GB2312"/>
                <w:b w:val="0"/>
                <w:bCs w:val="0"/>
                <w:i w:val="0"/>
                <w:iCs w:val="0"/>
                <w:smallCaps w:val="0"/>
                <w:color w:val="000000"/>
                <w:kern w:val="0"/>
                <w:sz w:val="28"/>
                <w:szCs w:val="28"/>
                <w:lang w:val="en-US" w:eastAsia="zh-CN"/>
              </w:rPr>
              <w:t>实践杂志社</w:t>
            </w:r>
          </w:p>
        </w:tc>
        <w:tc>
          <w:tcPr>
            <w:tcW w:w="4637"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Times New Roman" w:cs="Times New Roman"/>
                <w:b w:val="0"/>
                <w:bCs w:val="0"/>
                <w:i w:val="0"/>
                <w:iCs w:val="0"/>
                <w:smallCaps w:val="0"/>
                <w:color w:val="000000"/>
                <w:kern w:val="0"/>
                <w:sz w:val="24"/>
              </w:rPr>
            </w:pPr>
            <w:r>
              <w:rPr>
                <w:rFonts w:hint="eastAsia" w:ascii="Times New Roman" w:hAnsi="Times New Roman" w:eastAsia="方正仿宋_GB2312" w:cs="方正仿宋_GB2312"/>
                <w:b w:val="0"/>
                <w:bCs w:val="0"/>
                <w:i w:val="0"/>
                <w:iCs w:val="0"/>
                <w:smallCaps w:val="0"/>
                <w:color w:val="000000"/>
                <w:kern w:val="0"/>
                <w:sz w:val="28"/>
                <w:szCs w:val="28"/>
              </w:rPr>
              <w:t>公益二类事业单位</w:t>
            </w:r>
          </w:p>
        </w:tc>
      </w:tr>
    </w:tbl>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三、</w:t>
      </w:r>
      <w:r>
        <w:rPr>
          <w:rFonts w:ascii="Times New Roman" w:hAnsi="Times New Roman" w:eastAsia="Times New Roman"/>
          <w:b/>
          <w:bCs/>
          <w:kern w:val="0"/>
          <w:sz w:val="32"/>
          <w:szCs w:val="32"/>
          <w:lang w:eastAsia="en-US"/>
        </w:rPr>
        <w:t>2025</w:t>
      </w:r>
      <w:r>
        <w:rPr>
          <w:rFonts w:ascii="Times New Roman" w:hAnsi="Times New Roman" w:eastAsia="黑体" w:cs="黑体"/>
          <w:b/>
          <w:bCs/>
          <w:kern w:val="0"/>
          <w:sz w:val="32"/>
          <w:szCs w:val="32"/>
        </w:rPr>
        <w:t>年度部门主要工作完成情况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b w:val="0"/>
          <w:bCs w:val="0"/>
          <w:i w:val="0"/>
          <w:caps w:val="0"/>
          <w:spacing w:val="0"/>
          <w:w w:val="100"/>
          <w:kern w:val="2"/>
          <w:sz w:val="32"/>
          <w:szCs w:val="32"/>
          <w:lang w:val="en-US" w:eastAsia="zh-CN" w:bidi="ar-SA"/>
        </w:rPr>
      </w:pPr>
      <w:r>
        <w:rPr>
          <w:rFonts w:hint="eastAsia" w:ascii="Times New Roman" w:hAnsi="Times New Roman" w:eastAsia="仿宋_GB2312" w:cs="仿宋_GB2312"/>
          <w:b w:val="0"/>
          <w:bCs w:val="0"/>
          <w:sz w:val="32"/>
          <w:szCs w:val="32"/>
          <w:lang w:val="en-US" w:eastAsia="zh-CN"/>
        </w:rPr>
        <w:t>全年亮点工作主要有：</w:t>
      </w:r>
      <w:r>
        <w:rPr>
          <w:rFonts w:hint="eastAsia" w:ascii="Times New Roman" w:hAnsi="Times New Roman" w:eastAsia="仿宋_GB2312" w:cs="仿宋_GB2312"/>
          <w:b w:val="0"/>
          <w:bCs w:val="0"/>
          <w:i w:val="0"/>
          <w:caps w:val="0"/>
          <w:spacing w:val="0"/>
          <w:w w:val="100"/>
          <w:kern w:val="2"/>
          <w:sz w:val="32"/>
          <w:szCs w:val="32"/>
          <w:lang w:val="en-US" w:eastAsia="zh-CN" w:bidi="ar-SA"/>
        </w:rPr>
        <w:t>2025年，实践杂志社贯彻落实自治区党委“1571”工作部署，做好理论宣传主业，深化媒体融合改革，全年累计发稿2万篇，总阅读量突破10亿次，办刊质量和自有平台传播力、影响力明显提升。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b w:val="0"/>
          <w:bCs w:val="0"/>
          <w:i w:val="0"/>
          <w:caps w:val="0"/>
          <w:spacing w:val="0"/>
          <w:w w:val="100"/>
          <w:kern w:val="2"/>
          <w:sz w:val="32"/>
          <w:szCs w:val="32"/>
          <w:lang w:val="en-US" w:eastAsia="zh-CN" w:bidi="ar-SA"/>
        </w:rPr>
      </w:pPr>
      <w:r>
        <w:rPr>
          <w:rFonts w:hint="eastAsia" w:ascii="Times New Roman" w:hAnsi="Times New Roman" w:eastAsia="仿宋_GB2312" w:cs="仿宋_GB2312"/>
          <w:b w:val="0"/>
          <w:bCs w:val="0"/>
          <w:i w:val="0"/>
          <w:caps w:val="0"/>
          <w:spacing w:val="0"/>
          <w:w w:val="100"/>
          <w:kern w:val="2"/>
          <w:sz w:val="32"/>
          <w:szCs w:val="32"/>
          <w:lang w:val="en-US" w:eastAsia="zh-CN" w:bidi="ar-SA"/>
        </w:rPr>
        <w:t>深耕党刊阵地，刊物建设质量实现重大突破。《实践》杂志策划推出“内蒙古闯新路进中游实践观察”“推进‘三北’工程建设”“各民族共同走向社会主义现代化”等18个专题51篇深度报道。《实践》杂志入选第三十一届北京国际图书博览会“精品期刊展”，实践杂志社在中国期刊协会“期刊高质量发展论坛”上作交流发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b w:val="0"/>
          <w:bCs w:val="0"/>
          <w:i w:val="0"/>
          <w:caps w:val="0"/>
          <w:spacing w:val="0"/>
          <w:w w:val="100"/>
          <w:kern w:val="2"/>
          <w:sz w:val="32"/>
          <w:szCs w:val="32"/>
          <w:lang w:val="en-US" w:eastAsia="zh-CN" w:bidi="ar-SA"/>
        </w:rPr>
      </w:pPr>
      <w:r>
        <w:rPr>
          <w:rFonts w:hint="eastAsia" w:ascii="Times New Roman" w:hAnsi="Times New Roman" w:eastAsia="仿宋_GB2312" w:cs="仿宋_GB2312"/>
          <w:b w:val="0"/>
          <w:bCs w:val="0"/>
          <w:i w:val="0"/>
          <w:caps w:val="0"/>
          <w:spacing w:val="0"/>
          <w:w w:val="100"/>
          <w:kern w:val="2"/>
          <w:sz w:val="32"/>
          <w:szCs w:val="32"/>
          <w:lang w:val="en-US" w:eastAsia="zh-CN" w:bidi="ar-SA"/>
        </w:rPr>
        <w:t>做强新媒体矩阵，传播影响力大幅提升。“学习强国”内蒙古学习平台订阅用户达4900万，开通首个盟市级分平台，累计阅读量2.45亿。“实践融媒”和“文明内蒙古”两个视频号粉丝数量分别增加了3倍、2倍。视频《洪水来临时，基层干部逆行而上》抖音播放量突破700万次，被多家央媒转发，全网传播量达3.8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仿宋_GB2312"/>
          <w:b w:val="0"/>
          <w:bCs w:val="0"/>
          <w:i w:val="0"/>
          <w:caps w:val="0"/>
          <w:spacing w:val="0"/>
          <w:w w:val="100"/>
          <w:kern w:val="2"/>
          <w:sz w:val="32"/>
          <w:szCs w:val="32"/>
          <w:lang w:val="en-US" w:eastAsia="zh-CN" w:bidi="ar-SA"/>
        </w:rPr>
      </w:pPr>
      <w:r>
        <w:rPr>
          <w:rFonts w:hint="eastAsia" w:ascii="Times New Roman" w:hAnsi="Times New Roman" w:eastAsia="仿宋_GB2312" w:cs="仿宋_GB2312"/>
          <w:b w:val="0"/>
          <w:bCs w:val="0"/>
          <w:i w:val="0"/>
          <w:caps w:val="0"/>
          <w:spacing w:val="0"/>
          <w:w w:val="100"/>
          <w:kern w:val="2"/>
          <w:sz w:val="32"/>
          <w:szCs w:val="32"/>
          <w:lang w:val="en-US" w:eastAsia="zh-CN" w:bidi="ar-SA"/>
        </w:rPr>
        <w:t>打响评论品牌，舆论引导能力持续增强。“识见”评论年内创作评论文章191篇，再次出现阅读量超10万的爆款文章，7篇评论入选中国记协“我的代表作”栏目，30余篇被央媒转发，上百篇被省级平台转载。《“三位一体”育才模式打造网络新闻评论“轻骑兵”》入选全区2025年度宣传思想文化工作优秀创新案例。</w:t>
      </w:r>
    </w:p>
    <w:p>
      <w:pPr>
        <w:pStyle w:val="3"/>
        <w:keepNext w:val="0"/>
        <w:keepLines w:val="0"/>
        <w:pageBreakBefore w:val="0"/>
        <w:widowControl/>
        <w:kinsoku/>
        <w:wordWrap/>
        <w:overflowPunct/>
        <w:topLinePunct w:val="0"/>
        <w:autoSpaceDE/>
        <w:autoSpaceDN/>
        <w:bidi w:val="0"/>
        <w:adjustRightInd/>
        <w:snapToGrid/>
        <w:spacing w:before="0" w:after="0" w:line="600" w:lineRule="exact"/>
        <w:ind w:left="0" w:right="0" w:firstLine="722" w:firstLineChars="200"/>
        <w:jc w:val="center"/>
        <w:textAlignment w:val="auto"/>
        <w:rPr>
          <w:rFonts w:ascii="Times New Roman" w:hAnsi="Times New Roman" w:eastAsia="方正小标宋简体" w:cs="方正小标宋简体"/>
          <w:kern w:val="0"/>
          <w:sz w:val="36"/>
          <w:szCs w:val="36"/>
        </w:rPr>
      </w:pPr>
    </w:p>
    <w:p>
      <w:pPr>
        <w:pStyle w:val="3"/>
        <w:keepNext w:val="0"/>
        <w:keepLines w:val="0"/>
        <w:pageBreakBefore w:val="0"/>
        <w:widowControl/>
        <w:kinsoku/>
        <w:wordWrap/>
        <w:overflowPunct/>
        <w:topLinePunct w:val="0"/>
        <w:bidi w:val="0"/>
        <w:adjustRightInd/>
        <w:spacing w:before="0" w:after="0" w:line="360" w:lineRule="auto"/>
        <w:ind w:left="0" w:right="0"/>
        <w:jc w:val="center"/>
        <w:rPr>
          <w:rFonts w:ascii="Times New Roman" w:hAnsi="Times New Roman" w:eastAsia="Times New Roman" w:cs="Times New Roman"/>
          <w:b/>
          <w:bCs/>
          <w:kern w:val="0"/>
          <w:sz w:val="36"/>
          <w:szCs w:val="36"/>
        </w:rPr>
      </w:pPr>
      <w:r>
        <w:rPr>
          <w:rFonts w:ascii="Times New Roman" w:hAnsi="Times New Roman" w:eastAsia="方正小标宋简体" w:cs="方正小标宋简体"/>
          <w:kern w:val="0"/>
          <w:sz w:val="36"/>
          <w:szCs w:val="36"/>
        </w:rPr>
        <w:t>第二部分</w:t>
      </w:r>
      <w:r>
        <w:rPr>
          <w:rFonts w:hint="eastAsia" w:ascii="Times New Roman" w:hAnsi="Times New Roman" w:eastAsia="方正小标宋简体" w:cs="方正小标宋简体"/>
          <w:kern w:val="0"/>
          <w:sz w:val="36"/>
          <w:szCs w:val="36"/>
          <w:lang w:val="en-US" w:eastAsia="zh-CN"/>
        </w:rPr>
        <w:t xml:space="preserve"> </w:t>
      </w:r>
      <w:r>
        <w:rPr>
          <w:rFonts w:ascii="Times New Roman" w:hAnsi="Times New Roman" w:eastAsia="方正小标宋简体" w:cs="方正小标宋简体"/>
          <w:kern w:val="0"/>
          <w:sz w:val="36"/>
          <w:szCs w:val="36"/>
        </w:rPr>
        <w:t>部门决算情况说明</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FangSong_GB2312" w:cs="FangSong_GB2312"/>
          <w:kern w:val="0"/>
          <w:sz w:val="32"/>
          <w:szCs w:val="32"/>
        </w:rPr>
      </w:pPr>
      <w:r>
        <w:rPr>
          <w:rFonts w:ascii="Times New Roman" w:hAnsi="Times New Roman" w:eastAsia="黑体" w:cs="黑体"/>
          <w:b/>
          <w:bCs/>
          <w:kern w:val="0"/>
          <w:sz w:val="32"/>
          <w:szCs w:val="32"/>
        </w:rPr>
        <w:t>一、收入支出决算总体情况说明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年度收入、支出决算总计均为</w:t>
      </w:r>
      <w:r>
        <w:rPr>
          <w:rFonts w:ascii="Times New Roman" w:hAnsi="Times New Roman" w:eastAsia="Times New Roman"/>
          <w:kern w:val="0"/>
          <w:sz w:val="32"/>
          <w:szCs w:val="32"/>
          <w:u w:val="single"/>
          <w:lang w:eastAsia="en-US"/>
        </w:rPr>
        <w:t>4167.67</w:t>
      </w:r>
      <w:r>
        <w:rPr>
          <w:rFonts w:ascii="Times New Roman" w:hAnsi="Times New Roman" w:eastAsia="FangSong_GB2312" w:cs="FangSong_GB2312"/>
          <w:kern w:val="0"/>
          <w:sz w:val="32"/>
          <w:szCs w:val="32"/>
        </w:rPr>
        <w:t>万元。与年初预算相比，收、支总计各减少</w:t>
      </w:r>
      <w:r>
        <w:rPr>
          <w:rFonts w:ascii="Times New Roman" w:hAnsi="Times New Roman" w:eastAsia="Times New Roman"/>
          <w:kern w:val="0"/>
          <w:sz w:val="32"/>
          <w:szCs w:val="32"/>
          <w:u w:val="single"/>
          <w:lang w:eastAsia="en-US"/>
        </w:rPr>
        <w:t>819.70</w:t>
      </w:r>
      <w:r>
        <w:rPr>
          <w:rFonts w:ascii="Times New Roman" w:hAnsi="Times New Roman" w:eastAsia="FangSong_GB2312" w:cs="FangSong_GB2312"/>
          <w:kern w:val="0"/>
          <w:sz w:val="32"/>
          <w:szCs w:val="32"/>
        </w:rPr>
        <w:t>万元，下降</w:t>
      </w:r>
      <w:r>
        <w:rPr>
          <w:rFonts w:ascii="Times New Roman" w:hAnsi="Times New Roman" w:eastAsia="Times New Roman"/>
          <w:kern w:val="0"/>
          <w:sz w:val="32"/>
          <w:szCs w:val="32"/>
          <w:u w:val="single"/>
          <w:lang w:eastAsia="en-US"/>
        </w:rPr>
        <w:t>16.44</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方正仿宋_GB2312" w:cs="仿宋_GB2312"/>
          <w:color w:val="000000" w:themeColor="text1"/>
          <w:kern w:val="0"/>
          <w:sz w:val="32"/>
          <w:szCs w:val="32"/>
          <w:lang w:val="en-US" w:eastAsia="zh-CN"/>
          <w14:textFill>
            <w14:solidFill>
              <w14:schemeClr w14:val="tx1"/>
            </w14:solidFill>
          </w14:textFill>
        </w:rPr>
        <w:t>本年度通过厉行节约各种措施，节省了事业单位经营支出，导致总体支出减少</w:t>
      </w:r>
      <w:r>
        <w:rPr>
          <w:rFonts w:ascii="Times New Roman" w:hAnsi="Times New Roman" w:eastAsia="FangSong_GB2312" w:cs="FangSong_GB2312"/>
          <w:kern w:val="0"/>
          <w:sz w:val="32"/>
          <w:szCs w:val="32"/>
        </w:rPr>
        <w:t>；与上年决算相比，收、支总计各增加</w:t>
      </w:r>
      <w:r>
        <w:rPr>
          <w:rFonts w:ascii="Times New Roman" w:hAnsi="Times New Roman" w:eastAsia="Times New Roman"/>
          <w:kern w:val="0"/>
          <w:sz w:val="32"/>
          <w:szCs w:val="32"/>
          <w:u w:val="single"/>
          <w:lang w:eastAsia="en-US"/>
        </w:rPr>
        <w:t>263.61</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6.75</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。其中：</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（一）收入决算总计</w:t>
      </w:r>
      <w:r>
        <w:rPr>
          <w:rFonts w:ascii="Times New Roman" w:hAnsi="Times New Roman" w:eastAsia="Times New Roman"/>
          <w:b/>
          <w:bCs/>
          <w:kern w:val="0"/>
          <w:sz w:val="32"/>
          <w:szCs w:val="32"/>
          <w:u w:val="single"/>
          <w:lang w:eastAsia="en-US"/>
        </w:rPr>
        <w:t>4167.67</w:t>
      </w:r>
      <w:r>
        <w:rPr>
          <w:rFonts w:ascii="Times New Roman" w:hAnsi="Times New Roman" w:eastAsia="楷体" w:cs="楷体"/>
          <w:b/>
          <w:bCs/>
          <w:kern w:val="0"/>
          <w:sz w:val="32"/>
          <w:szCs w:val="32"/>
        </w:rPr>
        <w:t>万元。包括：</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1</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本年收入决算合计</w:t>
      </w:r>
      <w:r>
        <w:rPr>
          <w:rFonts w:ascii="Times New Roman" w:hAnsi="Times New Roman" w:eastAsia="Times New Roman"/>
          <w:kern w:val="0"/>
          <w:sz w:val="32"/>
          <w:szCs w:val="32"/>
          <w:u w:val="single"/>
          <w:lang w:eastAsia="en-US"/>
        </w:rPr>
        <w:t>4120.78</w:t>
      </w:r>
      <w:r>
        <w:rPr>
          <w:rFonts w:ascii="Times New Roman" w:hAnsi="Times New Roman" w:eastAsia="FangSong_GB2312" w:cs="FangSong_GB2312"/>
          <w:kern w:val="0"/>
          <w:sz w:val="32"/>
          <w:szCs w:val="32"/>
        </w:rPr>
        <w:t>万元。与上年决算相比，增加</w:t>
      </w:r>
      <w:r>
        <w:rPr>
          <w:rFonts w:ascii="Times New Roman" w:hAnsi="Times New Roman" w:eastAsia="Times New Roman"/>
          <w:kern w:val="0"/>
          <w:sz w:val="32"/>
          <w:szCs w:val="32"/>
          <w:u w:val="single"/>
          <w:lang w:eastAsia="en-US"/>
        </w:rPr>
        <w:t>41.37</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1.01</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val="en-US" w:eastAsia="zh-CN"/>
        </w:rPr>
        <w:t>本年度收到中央宣传部资助刊物资金30万元，经营收入增加。</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2</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使用非财政拨款结余（含专用结余）</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万元。与上年决算相比，增加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不存在此项内容</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3</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年</w:t>
      </w:r>
      <w:r>
        <w:rPr>
          <w:rFonts w:ascii="Times New Roman" w:hAnsi="Times New Roman" w:eastAsia="FangSong_GB2312" w:cs="FangSong_GB2312"/>
          <w:kern w:val="0"/>
          <w:sz w:val="32"/>
          <w:szCs w:val="32"/>
          <w:highlight w:val="none"/>
        </w:rPr>
        <w:t>初结转和结余</w:t>
      </w:r>
      <w:r>
        <w:rPr>
          <w:rFonts w:ascii="Times New Roman" w:hAnsi="Times New Roman" w:eastAsia="Times New Roman"/>
          <w:kern w:val="0"/>
          <w:sz w:val="32"/>
          <w:szCs w:val="32"/>
          <w:highlight w:val="none"/>
          <w:u w:val="single"/>
          <w:lang w:eastAsia="en-US"/>
        </w:rPr>
        <w:t>46.89</w:t>
      </w:r>
      <w:r>
        <w:rPr>
          <w:rFonts w:ascii="Times New Roman" w:hAnsi="Times New Roman" w:eastAsia="FangSong_GB2312" w:cs="FangSong_GB2312"/>
          <w:kern w:val="0"/>
          <w:sz w:val="32"/>
          <w:szCs w:val="32"/>
          <w:highlight w:val="none"/>
        </w:rPr>
        <w:t>万元。与上年决算相比，增加</w:t>
      </w:r>
      <w:r>
        <w:rPr>
          <w:rFonts w:ascii="Times New Roman" w:hAnsi="Times New Roman" w:eastAsia="Times New Roman"/>
          <w:kern w:val="0"/>
          <w:sz w:val="32"/>
          <w:szCs w:val="32"/>
          <w:highlight w:val="none"/>
          <w:u w:val="single"/>
          <w:lang w:eastAsia="en-US"/>
        </w:rPr>
        <w:t>222.23</w:t>
      </w:r>
      <w:r>
        <w:rPr>
          <w:rFonts w:ascii="Times New Roman" w:hAnsi="Times New Roman" w:eastAsia="FangSong_GB2312" w:cs="FangSong_GB2312"/>
          <w:kern w:val="0"/>
          <w:sz w:val="32"/>
          <w:szCs w:val="32"/>
          <w:highlight w:val="none"/>
        </w:rPr>
        <w:t>万元，</w:t>
      </w:r>
      <w:r>
        <w:rPr>
          <w:rFonts w:ascii="Times New Roman" w:hAnsi="Times New Roman" w:eastAsia="FangSong_GB2312" w:cs="FangSong_GB2312"/>
          <w:kern w:val="0"/>
          <w:sz w:val="32"/>
          <w:szCs w:val="32"/>
        </w:rPr>
        <w:t>增长</w:t>
      </w:r>
      <w:r>
        <w:rPr>
          <w:rFonts w:ascii="Times New Roman" w:hAnsi="Times New Roman" w:eastAsia="Times New Roman"/>
          <w:kern w:val="0"/>
          <w:sz w:val="32"/>
          <w:szCs w:val="32"/>
          <w:u w:val="single"/>
          <w:lang w:eastAsia="en-US"/>
        </w:rPr>
        <w:t>126.74</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我单位营收能力提升，与上年相比用历年结余弥补亏空的数额减少</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（二）支出决算总计</w:t>
      </w:r>
      <w:r>
        <w:rPr>
          <w:rFonts w:ascii="Times New Roman" w:hAnsi="Times New Roman" w:eastAsia="Times New Roman"/>
          <w:b/>
          <w:bCs/>
          <w:kern w:val="0"/>
          <w:sz w:val="32"/>
          <w:szCs w:val="32"/>
          <w:u w:val="single"/>
          <w:lang w:eastAsia="en-US"/>
        </w:rPr>
        <w:t>4167.67</w:t>
      </w:r>
      <w:r>
        <w:rPr>
          <w:rFonts w:ascii="Times New Roman" w:hAnsi="Times New Roman" w:eastAsia="楷体" w:cs="楷体"/>
          <w:b/>
          <w:bCs/>
          <w:kern w:val="0"/>
          <w:sz w:val="32"/>
          <w:szCs w:val="32"/>
        </w:rPr>
        <w:t>万元。包括：</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1</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本年支出决算合计</w:t>
      </w:r>
      <w:r>
        <w:rPr>
          <w:rFonts w:ascii="Times New Roman" w:hAnsi="Times New Roman" w:eastAsia="Times New Roman"/>
          <w:kern w:val="0"/>
          <w:sz w:val="32"/>
          <w:szCs w:val="32"/>
          <w:u w:val="single"/>
          <w:lang w:eastAsia="en-US"/>
        </w:rPr>
        <w:t>3719.82</w:t>
      </w:r>
      <w:r>
        <w:rPr>
          <w:rFonts w:ascii="Times New Roman" w:hAnsi="Times New Roman" w:eastAsia="FangSong_GB2312" w:cs="FangSong_GB2312"/>
          <w:kern w:val="0"/>
          <w:sz w:val="32"/>
          <w:szCs w:val="32"/>
        </w:rPr>
        <w:t>万元。与上年决算相比，增加</w:t>
      </w:r>
      <w:r>
        <w:rPr>
          <w:rFonts w:ascii="Times New Roman" w:hAnsi="Times New Roman" w:eastAsia="Times New Roman"/>
          <w:kern w:val="0"/>
          <w:sz w:val="32"/>
          <w:szCs w:val="32"/>
          <w:u w:val="single"/>
          <w:lang w:eastAsia="en-US"/>
        </w:rPr>
        <w:t>36.03</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0.98</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highlight w:val="none"/>
          <w:lang w:val="en-US" w:eastAsia="zh-CN"/>
        </w:rPr>
        <w:t>本年度新增</w:t>
      </w:r>
      <w:r>
        <w:rPr>
          <w:rFonts w:hint="eastAsia" w:ascii="Times New Roman" w:hAnsi="Times New Roman" w:eastAsia="FangSong_GB2312" w:cs="FangSong_GB2312"/>
          <w:kern w:val="0"/>
          <w:sz w:val="32"/>
          <w:szCs w:val="32"/>
        </w:rPr>
        <w:t>创新“大评论”生产传播机制打造主流舆论引导“轻骑兵”项目</w:t>
      </w:r>
      <w:r>
        <w:rPr>
          <w:rFonts w:hint="eastAsia" w:ascii="Times New Roman" w:hAnsi="Times New Roman" w:eastAsia="FangSong_GB2312" w:cs="FangSong_GB2312"/>
          <w:kern w:val="0"/>
          <w:sz w:val="32"/>
          <w:szCs w:val="32"/>
          <w:lang w:val="en-US" w:eastAsia="zh-CN"/>
        </w:rPr>
        <w:t>50</w:t>
      </w:r>
      <w:r>
        <w:rPr>
          <w:rFonts w:hint="eastAsia" w:ascii="Times New Roman" w:hAnsi="Times New Roman" w:eastAsia="FangSong_GB2312" w:cs="FangSong_GB2312"/>
          <w:kern w:val="0"/>
          <w:sz w:val="32"/>
          <w:szCs w:val="32"/>
        </w:rPr>
        <w:t>万元</w:t>
      </w:r>
      <w:r>
        <w:rPr>
          <w:rFonts w:hint="eastAsia" w:ascii="Times New Roman" w:hAnsi="Times New Roman" w:eastAsia="FangSong_GB2312" w:cs="FangSong_GB2312"/>
          <w:kern w:val="0"/>
          <w:sz w:val="32"/>
          <w:szCs w:val="32"/>
          <w:lang w:eastAsia="zh-CN"/>
        </w:rPr>
        <w:t>，</w:t>
      </w:r>
      <w:r>
        <w:rPr>
          <w:rFonts w:hint="eastAsia" w:ascii="Times New Roman" w:hAnsi="Times New Roman" w:eastAsia="FangSong_GB2312" w:cs="FangSong_GB2312"/>
          <w:kern w:val="0"/>
          <w:sz w:val="32"/>
          <w:szCs w:val="32"/>
          <w:lang w:val="en-US" w:eastAsia="zh-CN"/>
        </w:rPr>
        <w:t>该项目实际支出为37.3万元，其他支出较上年度节约1.2万元</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FangSong_GB2312" w:cs="FangSong_GB2312"/>
          <w:kern w:val="0"/>
          <w:sz w:val="32"/>
          <w:szCs w:val="32"/>
        </w:rPr>
      </w:pPr>
      <w:r>
        <w:rPr>
          <w:rFonts w:ascii="Times New Roman" w:hAnsi="Times New Roman" w:eastAsia="Times New Roman"/>
          <w:kern w:val="0"/>
          <w:sz w:val="32"/>
          <w:szCs w:val="32"/>
          <w:lang w:eastAsia="en-US"/>
        </w:rPr>
        <w:t>2</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结余分配</w:t>
      </w:r>
      <w:r>
        <w:rPr>
          <w:rFonts w:ascii="Times New Roman" w:hAnsi="Times New Roman" w:eastAsia="Times New Roman"/>
          <w:kern w:val="0"/>
          <w:sz w:val="32"/>
          <w:szCs w:val="32"/>
          <w:u w:val="single"/>
          <w:lang w:eastAsia="en-US"/>
        </w:rPr>
        <w:t>400.95</w:t>
      </w:r>
      <w:r>
        <w:rPr>
          <w:rFonts w:ascii="Times New Roman" w:hAnsi="Times New Roman" w:eastAsia="FangSong_GB2312" w:cs="FangSong_GB2312"/>
          <w:kern w:val="0"/>
          <w:sz w:val="32"/>
          <w:szCs w:val="32"/>
        </w:rPr>
        <w:t>万元。结余分配事项：</w:t>
      </w:r>
      <w:r>
        <w:rPr>
          <w:rFonts w:hint="eastAsia" w:ascii="Times New Roman" w:hAnsi="Times New Roman" w:eastAsia="FangSong_GB2312" w:cs="FangSong_GB2312"/>
          <w:kern w:val="0"/>
          <w:sz w:val="32"/>
          <w:szCs w:val="32"/>
          <w:lang w:eastAsia="en-US"/>
        </w:rPr>
        <w:t>其他结余、经营结余转入非财政拨款结余</w:t>
      </w:r>
      <w:r>
        <w:rPr>
          <w:rFonts w:ascii="Times New Roman" w:hAnsi="Times New Roman" w:eastAsia="FangSong_GB2312" w:cs="FangSong_GB2312"/>
          <w:kern w:val="0"/>
          <w:sz w:val="32"/>
          <w:szCs w:val="32"/>
        </w:rPr>
        <w:t>。与上年决算相比，增加</w:t>
      </w:r>
      <w:r>
        <w:rPr>
          <w:rFonts w:ascii="Times New Roman" w:hAnsi="Times New Roman" w:eastAsia="Times New Roman"/>
          <w:kern w:val="0"/>
          <w:sz w:val="32"/>
          <w:szCs w:val="32"/>
          <w:u w:val="single"/>
          <w:lang w:eastAsia="en-US"/>
        </w:rPr>
        <w:t>227.57</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131.25</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本年度通过厉行节约各种措施，节省了事业单位经营支出，导致总体支出减少产生结余</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3</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年末结转和结余</w:t>
      </w:r>
      <w:r>
        <w:rPr>
          <w:rFonts w:ascii="Times New Roman" w:hAnsi="Times New Roman" w:eastAsia="Times New Roman"/>
          <w:kern w:val="0"/>
          <w:sz w:val="32"/>
          <w:szCs w:val="32"/>
          <w:u w:val="single"/>
          <w:lang w:eastAsia="en-US"/>
        </w:rPr>
        <w:t>46.89</w:t>
      </w:r>
      <w:r>
        <w:rPr>
          <w:rFonts w:ascii="Times New Roman" w:hAnsi="Times New Roman" w:eastAsia="FangSong_GB2312" w:cs="FangSong_GB2312"/>
          <w:kern w:val="0"/>
          <w:sz w:val="32"/>
          <w:szCs w:val="32"/>
        </w:rPr>
        <w:t>万元。结转和结余事项：</w:t>
      </w:r>
      <w:r>
        <w:rPr>
          <w:rFonts w:hint="eastAsia" w:ascii="Times New Roman" w:hAnsi="Times New Roman" w:eastAsia="方正仿宋_GB2312" w:cs="仿宋_GB2312"/>
          <w:color w:val="000000" w:themeColor="text1"/>
          <w:kern w:val="0"/>
          <w:sz w:val="28"/>
          <w:szCs w:val="28"/>
          <w:lang w:val="en-US" w:eastAsia="zh-CN"/>
          <w14:textFill>
            <w14:solidFill>
              <w14:schemeClr w14:val="tx1"/>
            </w14:solidFill>
          </w14:textFill>
        </w:rPr>
        <w:t>经营收支结余</w:t>
      </w:r>
      <w:r>
        <w:rPr>
          <w:rFonts w:ascii="Times New Roman" w:hAnsi="Times New Roman" w:eastAsia="FangSong_GB2312" w:cs="FangSong_GB2312"/>
          <w:kern w:val="0"/>
          <w:sz w:val="32"/>
          <w:szCs w:val="32"/>
        </w:rPr>
        <w:t>。与上年决算相比，增加</w:t>
      </w:r>
      <w:r>
        <w:rPr>
          <w:rFonts w:ascii="Times New Roman" w:hAnsi="Times New Roman" w:eastAsia="Times New Roman"/>
          <w:kern w:val="0"/>
          <w:sz w:val="32"/>
          <w:szCs w:val="32"/>
          <w:u w:val="single"/>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val="en-US" w:eastAsia="zh-CN"/>
        </w:rPr>
        <w:t>不存在此项内容</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二、收入决算情况说明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年度本年收入决算合计</w:t>
      </w:r>
      <w:r>
        <w:rPr>
          <w:rFonts w:ascii="Times New Roman" w:hAnsi="Times New Roman" w:eastAsia="Times New Roman"/>
          <w:kern w:val="0"/>
          <w:sz w:val="32"/>
          <w:szCs w:val="32"/>
          <w:u w:val="single"/>
          <w:lang w:eastAsia="en-US"/>
        </w:rPr>
        <w:t>4120.78</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一般公共预算财政拨款收入</w:t>
      </w:r>
      <w:r>
        <w:rPr>
          <w:rFonts w:ascii="Times New Roman" w:hAnsi="Times New Roman" w:eastAsia="Times New Roman"/>
          <w:kern w:val="0"/>
          <w:sz w:val="32"/>
          <w:szCs w:val="32"/>
          <w:u w:val="single"/>
          <w:lang w:eastAsia="en-US"/>
        </w:rPr>
        <w:t>2317.79</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56.25</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政府性基金预算财政拨款收入</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国有资本经营预算财政拨款收入</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上级补助收入</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事业收入</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经营收入</w:t>
      </w:r>
      <w:r>
        <w:rPr>
          <w:rFonts w:ascii="Times New Roman" w:hAnsi="Times New Roman" w:eastAsia="Times New Roman"/>
          <w:kern w:val="0"/>
          <w:sz w:val="32"/>
          <w:szCs w:val="32"/>
          <w:u w:val="single"/>
          <w:lang w:eastAsia="en-US"/>
        </w:rPr>
        <w:t>1707.66</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41.44</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附属单位上缴收入</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FangSong_GB2312" w:cs="FangSong_GB2312"/>
          <w:kern w:val="0"/>
          <w:sz w:val="32"/>
          <w:szCs w:val="32"/>
        </w:rPr>
      </w:pPr>
      <w:r>
        <w:rPr>
          <w:rFonts w:ascii="Times New Roman" w:hAnsi="Times New Roman" w:eastAsia="FangSong_GB2312" w:cs="FangSong_GB2312"/>
          <w:kern w:val="0"/>
          <w:sz w:val="32"/>
          <w:szCs w:val="32"/>
        </w:rPr>
        <w:t>其他收入</w:t>
      </w:r>
      <w:r>
        <w:rPr>
          <w:rFonts w:ascii="Times New Roman" w:hAnsi="Times New Roman" w:eastAsia="FangSong_GB2312" w:cs="FangSong_GB2312"/>
          <w:kern w:val="0"/>
          <w:sz w:val="32"/>
          <w:szCs w:val="32"/>
          <w:lang w:eastAsia="en-US"/>
        </w:rPr>
        <w:t>95.32</w:t>
      </w:r>
      <w:r>
        <w:rPr>
          <w:rFonts w:ascii="Times New Roman" w:hAnsi="Times New Roman" w:eastAsia="FangSong_GB2312" w:cs="FangSong_GB2312"/>
          <w:kern w:val="0"/>
          <w:sz w:val="32"/>
          <w:szCs w:val="32"/>
        </w:rPr>
        <w:t>万元，占</w:t>
      </w:r>
      <w:r>
        <w:rPr>
          <w:rFonts w:ascii="Times New Roman" w:hAnsi="Times New Roman" w:eastAsia="FangSong_GB2312" w:cs="FangSong_GB2312"/>
          <w:kern w:val="0"/>
          <w:sz w:val="32"/>
          <w:szCs w:val="32"/>
          <w:lang w:eastAsia="en-US"/>
        </w:rPr>
        <w:t>2.31%</w:t>
      </w:r>
      <w:r>
        <w:rPr>
          <w:rFonts w:ascii="Times New Roman" w:hAnsi="Times New Roman" w:eastAsia="FangSong_GB2312" w:cs="FangSong_GB2312"/>
          <w:kern w:val="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Times New Roman" w:cs="Times New Roman"/>
          <w:strike w:val="0"/>
          <w:kern w:val="0"/>
          <w:sz w:val="24"/>
          <w:u w:val="none"/>
        </w:rPr>
      </w:pPr>
      <w:r>
        <w:rPr>
          <w:rFonts w:ascii="Times New Roman" w:hAnsi="Times New Roman" w:eastAsia="Times New Roman" w:cs="Times New Roman"/>
          <w:strike w:val="0"/>
          <w:kern w:val="0"/>
          <w:sz w:val="24"/>
          <w:u w:val="none"/>
        </w:rPr>
        <w:drawing>
          <wp:inline distT="0" distB="0" distL="114300" distR="114300">
            <wp:extent cx="5222875" cy="3167380"/>
            <wp:effectExtent l="0" t="0" r="6350" b="444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8"/>
                    <a:stretch>
                      <a:fillRect/>
                    </a:stretch>
                  </pic:blipFill>
                  <pic:spPr>
                    <a:xfrm>
                      <a:off x="0" y="0"/>
                      <a:ext cx="5222875" cy="316738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27"/>
          <w:szCs w:val="27"/>
        </w:rPr>
        <w:t>图</w:t>
      </w:r>
      <w:r>
        <w:rPr>
          <w:rFonts w:ascii="Times New Roman" w:hAnsi="Times New Roman" w:eastAsia="times_new_roman" w:cs="times_new_roman"/>
          <w:kern w:val="0"/>
          <w:sz w:val="27"/>
          <w:szCs w:val="27"/>
        </w:rPr>
        <w:t>1</w:t>
      </w:r>
      <w:r>
        <w:rPr>
          <w:rFonts w:ascii="Times New Roman" w:hAnsi="Times New Roman" w:eastAsia="FangSong_GB2312" w:cs="FangSong_GB2312"/>
          <w:kern w:val="0"/>
          <w:sz w:val="27"/>
          <w:szCs w:val="27"/>
        </w:rPr>
        <w:t>.收入决算图</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三、支出决算情况说明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年度本年支出决算合计</w:t>
      </w:r>
      <w:r>
        <w:rPr>
          <w:rFonts w:ascii="Times New Roman" w:hAnsi="Times New Roman" w:eastAsia="Times New Roman"/>
          <w:kern w:val="0"/>
          <w:sz w:val="32"/>
          <w:szCs w:val="32"/>
          <w:u w:val="single"/>
          <w:lang w:eastAsia="en-US"/>
        </w:rPr>
        <w:t>3719.82</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基本支出</w:t>
      </w:r>
      <w:r>
        <w:rPr>
          <w:rFonts w:ascii="Times New Roman" w:hAnsi="Times New Roman" w:eastAsia="Times New Roman"/>
          <w:kern w:val="0"/>
          <w:sz w:val="32"/>
          <w:szCs w:val="32"/>
          <w:u w:val="single"/>
          <w:lang w:eastAsia="en-US"/>
        </w:rPr>
        <w:t>1064.50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28.62</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项目支出</w:t>
      </w:r>
      <w:r>
        <w:rPr>
          <w:rFonts w:ascii="Times New Roman" w:hAnsi="Times New Roman" w:eastAsia="Times New Roman"/>
          <w:kern w:val="0"/>
          <w:sz w:val="32"/>
          <w:szCs w:val="32"/>
          <w:u w:val="single"/>
          <w:lang w:eastAsia="en-US"/>
        </w:rPr>
        <w:t>1253.29</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33.69</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上缴上级支出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经营支出</w:t>
      </w:r>
      <w:r>
        <w:rPr>
          <w:rFonts w:ascii="Times New Roman" w:hAnsi="Times New Roman" w:eastAsia="Times New Roman"/>
          <w:kern w:val="0"/>
          <w:sz w:val="32"/>
          <w:szCs w:val="32"/>
          <w:u w:val="single"/>
          <w:lang w:eastAsia="en-US"/>
        </w:rPr>
        <w:t>1402.03</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37.69</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FangSong_GB2312" w:cs="FangSong_GB2312"/>
          <w:kern w:val="0"/>
          <w:sz w:val="32"/>
          <w:szCs w:val="32"/>
        </w:rPr>
      </w:pPr>
      <w:r>
        <w:rPr>
          <w:rFonts w:ascii="Times New Roman" w:hAnsi="Times New Roman" w:eastAsia="FangSong_GB2312" w:cs="FangSong_GB2312"/>
          <w:kern w:val="0"/>
          <w:sz w:val="32"/>
          <w:szCs w:val="32"/>
        </w:rPr>
        <w:t>对附属单位补助支出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FangSong_GB2312" w:cs="FangSong_GB2312"/>
          <w:kern w:val="0"/>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center"/>
        <w:textAlignment w:val="auto"/>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520055" cy="3450590"/>
            <wp:effectExtent l="0" t="0" r="635" b="1270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9"/>
                    <a:stretch>
                      <a:fillRect/>
                    </a:stretch>
                  </pic:blipFill>
                  <pic:spPr>
                    <a:xfrm>
                      <a:off x="0" y="0"/>
                      <a:ext cx="5520055" cy="3450590"/>
                    </a:xfrm>
                    <a:prstGeom prst="rect">
                      <a:avLst/>
                    </a:prstGeom>
                    <a:noFill/>
                    <a:ln>
                      <a:noFill/>
                    </a:ln>
                  </pic:spPr>
                </pic:pic>
              </a:graphicData>
            </a:graphic>
          </wp:inline>
        </w:drawing>
      </w:r>
    </w:p>
    <w:p>
      <w:pPr>
        <w:keepNext w:val="0"/>
        <w:keepLines w:val="0"/>
        <w:pageBreakBefore w:val="0"/>
        <w:widowControl/>
        <w:kinsoku/>
        <w:wordWrap/>
        <w:overflowPunct/>
        <w:topLinePunct w:val="0"/>
        <w:bidi w:val="0"/>
        <w:adjustRightInd/>
        <w:snapToGrid/>
        <w:spacing w:line="600" w:lineRule="exact"/>
        <w:ind w:firstLine="540" w:firstLineChars="200"/>
        <w:jc w:val="center"/>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27"/>
          <w:szCs w:val="27"/>
        </w:rPr>
        <w:t>图2.支出决算图</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四、财政拨款收入支出决算总体情况说明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年度财政拨款收入、支出决算总计均为</w:t>
      </w:r>
      <w:r>
        <w:rPr>
          <w:rFonts w:ascii="Times New Roman" w:hAnsi="Times New Roman" w:eastAsia="Times New Roman"/>
          <w:kern w:val="0"/>
          <w:sz w:val="32"/>
          <w:szCs w:val="32"/>
          <w:u w:val="single"/>
          <w:lang w:eastAsia="en-US"/>
        </w:rPr>
        <w:t>2317.79</w:t>
      </w:r>
      <w:r>
        <w:rPr>
          <w:rFonts w:ascii="Times New Roman" w:hAnsi="Times New Roman" w:eastAsia="FangSong_GB2312" w:cs="FangSong_GB2312"/>
          <w:kern w:val="0"/>
          <w:sz w:val="32"/>
          <w:szCs w:val="32"/>
        </w:rPr>
        <w:t>万元，与年初预算相比，收、支总计各增加</w:t>
      </w:r>
      <w:r>
        <w:rPr>
          <w:rFonts w:ascii="Times New Roman" w:hAnsi="Times New Roman" w:eastAsia="Times New Roman"/>
          <w:kern w:val="0"/>
          <w:sz w:val="32"/>
          <w:szCs w:val="32"/>
          <w:u w:val="single"/>
          <w:lang w:eastAsia="en-US"/>
        </w:rPr>
        <w:t>199.79</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9.43</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rPr>
        <w:t>年度追加《内蒙古思想文化工作》《内蒙古宣传》期刊办刊项目35万元，《中心组学习》期刊办刊项目35万元，厅级干部周转房项目</w:t>
      </w:r>
      <w:r>
        <w:rPr>
          <w:rFonts w:hint="eastAsia" w:ascii="Times New Roman" w:hAnsi="Times New Roman" w:eastAsia="FangSong_GB2312" w:cs="FangSong_GB2312"/>
          <w:kern w:val="0"/>
          <w:sz w:val="32"/>
          <w:szCs w:val="32"/>
          <w:lang w:val="en-US" w:eastAsia="zh-CN"/>
        </w:rPr>
        <w:t>2.65</w:t>
      </w:r>
      <w:r>
        <w:rPr>
          <w:rFonts w:hint="eastAsia" w:ascii="Times New Roman" w:hAnsi="Times New Roman" w:eastAsia="FangSong_GB2312" w:cs="FangSong_GB2312"/>
          <w:kern w:val="0"/>
          <w:sz w:val="32"/>
          <w:szCs w:val="32"/>
        </w:rPr>
        <w:t>万元，创新“大评论”生产传播机制打造主流舆论引导“轻骑兵”项目</w:t>
      </w:r>
      <w:r>
        <w:rPr>
          <w:rFonts w:hint="eastAsia" w:ascii="Times New Roman" w:hAnsi="Times New Roman" w:eastAsia="FangSong_GB2312" w:cs="FangSong_GB2312"/>
          <w:kern w:val="0"/>
          <w:sz w:val="32"/>
          <w:szCs w:val="32"/>
          <w:lang w:val="en-US" w:eastAsia="zh-CN"/>
        </w:rPr>
        <w:t>50</w:t>
      </w:r>
      <w:r>
        <w:rPr>
          <w:rFonts w:hint="eastAsia" w:ascii="Times New Roman" w:hAnsi="Times New Roman" w:eastAsia="FangSong_GB2312" w:cs="FangSong_GB2312"/>
          <w:kern w:val="0"/>
          <w:sz w:val="32"/>
          <w:szCs w:val="32"/>
        </w:rPr>
        <w:t>万元；</w:t>
      </w:r>
      <w:r>
        <w:rPr>
          <w:rFonts w:hint="eastAsia" w:ascii="Times New Roman" w:hAnsi="Times New Roman" w:eastAsia="FangSong_GB2312" w:cs="FangSong_GB2312"/>
          <w:kern w:val="0"/>
          <w:sz w:val="32"/>
          <w:szCs w:val="32"/>
          <w:lang w:val="en-US" w:eastAsia="zh-CN"/>
        </w:rPr>
        <w:t>77.14</w:t>
      </w:r>
      <w:r>
        <w:rPr>
          <w:rFonts w:hint="eastAsia" w:ascii="Times New Roman" w:hAnsi="Times New Roman" w:eastAsia="FangSong_GB2312" w:cs="FangSong_GB2312"/>
          <w:kern w:val="0"/>
          <w:sz w:val="32"/>
          <w:szCs w:val="32"/>
        </w:rPr>
        <w:t>万元</w:t>
      </w:r>
      <w:r>
        <w:rPr>
          <w:rFonts w:ascii="Times New Roman" w:hAnsi="Times New Roman" w:eastAsia="FangSong_GB2312" w:cs="FangSong_GB2312"/>
          <w:kern w:val="0"/>
          <w:sz w:val="32"/>
          <w:szCs w:val="32"/>
        </w:rPr>
        <w:t>；与上年决算相比，收、支总计各减少</w:t>
      </w:r>
      <w:r>
        <w:rPr>
          <w:rFonts w:ascii="Times New Roman" w:hAnsi="Times New Roman" w:eastAsia="Times New Roman"/>
          <w:kern w:val="0"/>
          <w:sz w:val="32"/>
          <w:szCs w:val="32"/>
          <w:u w:val="single"/>
          <w:lang w:eastAsia="en-US"/>
        </w:rPr>
        <w:t>75.80</w:t>
      </w:r>
      <w:r>
        <w:rPr>
          <w:rFonts w:ascii="Times New Roman" w:hAnsi="Times New Roman" w:eastAsia="FangSong_GB2312" w:cs="FangSong_GB2312"/>
          <w:kern w:val="0"/>
          <w:sz w:val="32"/>
          <w:szCs w:val="32"/>
        </w:rPr>
        <w:t>万元，下降</w:t>
      </w:r>
      <w:r>
        <w:rPr>
          <w:rFonts w:ascii="Times New Roman" w:hAnsi="Times New Roman" w:eastAsia="Times New Roman"/>
          <w:kern w:val="0"/>
          <w:sz w:val="32"/>
          <w:szCs w:val="32"/>
          <w:u w:val="single"/>
          <w:lang w:eastAsia="en-US"/>
        </w:rPr>
        <w:t>3.17</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val="en-US" w:eastAsia="zh-CN"/>
        </w:rPr>
        <w:t>本年度内蒙古文明网项目由财政拨款改为招投标形式</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五、一般公共预算财政拨款支出决算情况说明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年度一般公共预算财政拨款支出决算</w:t>
      </w:r>
      <w:r>
        <w:rPr>
          <w:rFonts w:ascii="Times New Roman" w:hAnsi="Times New Roman" w:eastAsia="Times New Roman"/>
          <w:kern w:val="0"/>
          <w:sz w:val="32"/>
          <w:szCs w:val="32"/>
          <w:u w:val="single"/>
          <w:lang w:eastAsia="en-US"/>
        </w:rPr>
        <w:t>2317.79</w:t>
      </w:r>
      <w:r>
        <w:rPr>
          <w:rFonts w:ascii="Times New Roman" w:hAnsi="Times New Roman" w:eastAsia="FangSong_GB2312" w:cs="FangSong_GB2312"/>
          <w:kern w:val="0"/>
          <w:sz w:val="32"/>
          <w:szCs w:val="32"/>
        </w:rPr>
        <w:t>万元。与年初预算</w:t>
      </w:r>
      <w:r>
        <w:rPr>
          <w:rFonts w:ascii="Times New Roman" w:hAnsi="Times New Roman" w:eastAsia="Times New Roman"/>
          <w:kern w:val="0"/>
          <w:sz w:val="32"/>
          <w:szCs w:val="32"/>
          <w:u w:val="single"/>
          <w:lang w:eastAsia="en-US"/>
        </w:rPr>
        <w:t>2118.00</w:t>
      </w:r>
      <w:r>
        <w:rPr>
          <w:rFonts w:ascii="Times New Roman" w:hAnsi="Times New Roman" w:eastAsia="FangSong_GB2312" w:cs="FangSong_GB2312"/>
          <w:kern w:val="0"/>
          <w:sz w:val="32"/>
          <w:szCs w:val="32"/>
        </w:rPr>
        <w:t>万元相比，完成年初预算的</w:t>
      </w:r>
      <w:r>
        <w:rPr>
          <w:rFonts w:ascii="Times New Roman" w:hAnsi="Times New Roman" w:eastAsia="Times New Roman"/>
          <w:kern w:val="0"/>
          <w:sz w:val="32"/>
          <w:szCs w:val="32"/>
          <w:u w:val="single"/>
          <w:lang w:eastAsia="en-US"/>
        </w:rPr>
        <w:t>109.43</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。其中：</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（一）社会保障和就业支出（类）</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社会保障和就业支出（类）决算数为</w:t>
      </w:r>
      <w:r>
        <w:rPr>
          <w:rFonts w:ascii="Times New Roman" w:hAnsi="Times New Roman" w:eastAsia="Times New Roman"/>
          <w:kern w:val="0"/>
          <w:sz w:val="32"/>
          <w:szCs w:val="32"/>
          <w:u w:val="single"/>
          <w:lang w:eastAsia="en-US"/>
        </w:rPr>
        <w:t>314.49</w:t>
      </w:r>
      <w:r>
        <w:rPr>
          <w:rFonts w:ascii="Times New Roman" w:hAnsi="Times New Roman" w:eastAsia="FangSong_GB2312" w:cs="FangSong_GB2312"/>
          <w:kern w:val="0"/>
          <w:sz w:val="32"/>
          <w:szCs w:val="32"/>
        </w:rPr>
        <w:t>万元，与年初预算相比增加</w:t>
      </w:r>
      <w:r>
        <w:rPr>
          <w:rFonts w:ascii="Times New Roman" w:hAnsi="Times New Roman" w:eastAsia="Times New Roman"/>
          <w:kern w:val="0"/>
          <w:sz w:val="32"/>
          <w:szCs w:val="32"/>
          <w:u w:val="single"/>
          <w:lang w:eastAsia="en-US"/>
        </w:rPr>
        <w:t>23.64</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1</w:t>
      </w:r>
      <w:r>
        <w:rPr>
          <w:rFonts w:ascii="Times New Roman" w:hAnsi="Times New Roman" w:eastAsia="FangSong_GB2312" w:cs="FangSong_GB2312"/>
          <w:kern w:val="0"/>
          <w:sz w:val="32"/>
          <w:szCs w:val="32"/>
        </w:rPr>
        <w:t>．行政事业单位养老支出（款）事业单位离退休（项）。年初预算</w:t>
      </w:r>
      <w:r>
        <w:rPr>
          <w:rFonts w:hint="eastAsia" w:ascii="Times New Roman" w:hAnsi="Times New Roman" w:eastAsia="宋体"/>
          <w:kern w:val="0"/>
          <w:sz w:val="32"/>
          <w:szCs w:val="32"/>
          <w:u w:val="single"/>
          <w:lang w:val="en-US" w:eastAsia="zh-CN"/>
        </w:rPr>
        <w:t>160.86</w:t>
      </w:r>
      <w:r>
        <w:rPr>
          <w:rFonts w:ascii="Times New Roman" w:hAnsi="Times New Roman" w:eastAsia="FangSong_GB2312" w:cs="FangSong_GB2312"/>
          <w:kern w:val="0"/>
          <w:sz w:val="32"/>
          <w:szCs w:val="32"/>
        </w:rPr>
        <w:t>万元，支出决算</w:t>
      </w:r>
      <w:r>
        <w:rPr>
          <w:rFonts w:hint="eastAsia" w:ascii="Times New Roman" w:hAnsi="Times New Roman" w:eastAsia="宋体"/>
          <w:kern w:val="0"/>
          <w:sz w:val="32"/>
          <w:szCs w:val="32"/>
          <w:u w:val="single"/>
          <w:lang w:val="en-US" w:eastAsia="zh-CN"/>
        </w:rPr>
        <w:t>157.99</w:t>
      </w:r>
      <w:r>
        <w:rPr>
          <w:rFonts w:ascii="Times New Roman" w:hAnsi="Times New Roman" w:eastAsia="FangSong_GB2312" w:cs="FangSong_GB2312"/>
          <w:kern w:val="0"/>
          <w:sz w:val="32"/>
          <w:szCs w:val="32"/>
        </w:rPr>
        <w:t>万元，完成年初预算的</w:t>
      </w:r>
      <w:r>
        <w:rPr>
          <w:rFonts w:hint="eastAsia" w:ascii="Times New Roman" w:hAnsi="Times New Roman" w:eastAsia="宋体"/>
          <w:kern w:val="0"/>
          <w:sz w:val="32"/>
          <w:szCs w:val="32"/>
          <w:u w:val="single"/>
          <w:lang w:val="en-US" w:eastAsia="zh-CN"/>
        </w:rPr>
        <w:t>98.22</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。决算数与年初预算数的差异原因：</w:t>
      </w:r>
      <w:r>
        <w:rPr>
          <w:rFonts w:hint="eastAsia" w:ascii="Times New Roman" w:hAnsi="Times New Roman" w:eastAsia="FangSong_GB2312" w:cs="FangSong_GB2312"/>
          <w:kern w:val="0"/>
          <w:sz w:val="32"/>
          <w:szCs w:val="32"/>
          <w:lang w:val="en-US" w:eastAsia="zh-CN"/>
        </w:rPr>
        <w:t>本年度有两名退休人员去世</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hint="eastAsia" w:ascii="Times New Roman" w:hAnsi="Times New Roman" w:eastAsia="宋体"/>
          <w:kern w:val="0"/>
          <w:sz w:val="32"/>
          <w:szCs w:val="32"/>
          <w:lang w:val="en-US" w:eastAsia="zh-CN"/>
        </w:rPr>
        <w:t>2</w:t>
      </w:r>
      <w:r>
        <w:rPr>
          <w:rFonts w:ascii="Times New Roman" w:hAnsi="Times New Roman" w:eastAsia="FangSong_GB2312" w:cs="FangSong_GB2312"/>
          <w:kern w:val="0"/>
          <w:sz w:val="32"/>
          <w:szCs w:val="32"/>
        </w:rPr>
        <w:t>．行政事业单位养老支出（款）机关事业单位基本养老保险缴费支出（项）。年初预算</w:t>
      </w:r>
      <w:r>
        <w:rPr>
          <w:rFonts w:hint="eastAsia" w:ascii="Times New Roman" w:hAnsi="Times New Roman" w:eastAsia="宋体"/>
          <w:kern w:val="0"/>
          <w:sz w:val="32"/>
          <w:szCs w:val="32"/>
          <w:u w:val="single"/>
          <w:lang w:val="en-US" w:eastAsia="zh-CN"/>
        </w:rPr>
        <w:t>90</w:t>
      </w:r>
      <w:r>
        <w:rPr>
          <w:rFonts w:ascii="Times New Roman" w:hAnsi="Times New Roman" w:eastAsia="FangSong_GB2312" w:cs="FangSong_GB2312"/>
          <w:kern w:val="0"/>
          <w:sz w:val="32"/>
          <w:szCs w:val="32"/>
        </w:rPr>
        <w:t>万元，支出决算</w:t>
      </w:r>
      <w:r>
        <w:rPr>
          <w:rFonts w:hint="eastAsia" w:ascii="Times New Roman" w:hAnsi="Times New Roman" w:eastAsia="宋体"/>
          <w:kern w:val="0"/>
          <w:sz w:val="32"/>
          <w:szCs w:val="32"/>
          <w:u w:val="single"/>
          <w:lang w:val="en-US" w:eastAsia="zh-CN"/>
        </w:rPr>
        <w:t>92.67</w:t>
      </w:r>
      <w:r>
        <w:rPr>
          <w:rFonts w:ascii="Times New Roman" w:hAnsi="Times New Roman" w:eastAsia="FangSong_GB2312" w:cs="FangSong_GB2312"/>
          <w:kern w:val="0"/>
          <w:sz w:val="32"/>
          <w:szCs w:val="32"/>
        </w:rPr>
        <w:t>万元，完成年初预算的</w:t>
      </w:r>
      <w:r>
        <w:rPr>
          <w:rFonts w:hint="eastAsia" w:ascii="Times New Roman" w:hAnsi="Times New Roman" w:eastAsia="宋体"/>
          <w:kern w:val="0"/>
          <w:sz w:val="32"/>
          <w:szCs w:val="32"/>
          <w:u w:val="single"/>
          <w:lang w:val="en-US" w:eastAsia="zh-CN"/>
        </w:rPr>
        <w:t>102.97</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。决算数与年初预算数的差异原因：</w:t>
      </w:r>
      <w:r>
        <w:rPr>
          <w:rFonts w:hint="eastAsia" w:ascii="Times New Roman" w:hAnsi="Times New Roman" w:eastAsia="方正仿宋_GB2312" w:cs="仿宋_GB2312"/>
          <w:color w:val="000000" w:themeColor="text1"/>
          <w:kern w:val="0"/>
          <w:sz w:val="32"/>
          <w:szCs w:val="32"/>
          <w:lang w:val="en-US" w:eastAsia="zh-CN"/>
          <w14:textFill>
            <w14:solidFill>
              <w14:schemeClr w14:val="tx1"/>
            </w14:solidFill>
          </w14:textFill>
        </w:rPr>
        <w:t>自治区财政根据工资调整政策中途追加部分人员经费用于支付养老保险</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hint="eastAsia" w:ascii="Times New Roman" w:hAnsi="Times New Roman" w:eastAsia="宋体"/>
          <w:kern w:val="0"/>
          <w:sz w:val="32"/>
          <w:szCs w:val="32"/>
          <w:lang w:val="en-US" w:eastAsia="zh-CN"/>
        </w:rPr>
        <w:t>3</w:t>
      </w:r>
      <w:r>
        <w:rPr>
          <w:rFonts w:ascii="Times New Roman" w:hAnsi="Times New Roman" w:eastAsia="FangSong_GB2312" w:cs="FangSong_GB2312"/>
          <w:kern w:val="0"/>
          <w:sz w:val="32"/>
          <w:szCs w:val="32"/>
        </w:rPr>
        <w:t>．行政事业单位养老支出（款）机关事业单位职业年金缴费支出（项）。年初预算</w:t>
      </w:r>
      <w:r>
        <w:rPr>
          <w:rFonts w:hint="eastAsia" w:ascii="Times New Roman" w:hAnsi="Times New Roman" w:eastAsia="宋体"/>
          <w:kern w:val="0"/>
          <w:sz w:val="32"/>
          <w:szCs w:val="32"/>
          <w:u w:val="single"/>
          <w:lang w:val="en-US" w:eastAsia="zh-CN"/>
        </w:rPr>
        <w:t>40</w:t>
      </w:r>
      <w:r>
        <w:rPr>
          <w:rFonts w:ascii="Times New Roman" w:hAnsi="Times New Roman" w:eastAsia="FangSong_GB2312" w:cs="FangSong_GB2312"/>
          <w:kern w:val="0"/>
          <w:sz w:val="32"/>
          <w:szCs w:val="32"/>
        </w:rPr>
        <w:t>万元，支出决算</w:t>
      </w:r>
      <w:r>
        <w:rPr>
          <w:rFonts w:hint="eastAsia" w:ascii="Times New Roman" w:hAnsi="Times New Roman" w:eastAsia="宋体"/>
          <w:kern w:val="0"/>
          <w:sz w:val="32"/>
          <w:szCs w:val="32"/>
          <w:u w:val="single"/>
          <w:lang w:val="en-US" w:eastAsia="zh-CN"/>
        </w:rPr>
        <w:t>41.34</w:t>
      </w:r>
      <w:r>
        <w:rPr>
          <w:rFonts w:ascii="Times New Roman" w:hAnsi="Times New Roman" w:eastAsia="FangSong_GB2312" w:cs="FangSong_GB2312"/>
          <w:kern w:val="0"/>
          <w:sz w:val="32"/>
          <w:szCs w:val="32"/>
        </w:rPr>
        <w:t>万元，完成年初预算的</w:t>
      </w:r>
      <w:r>
        <w:rPr>
          <w:rFonts w:hint="eastAsia" w:ascii="Times New Roman" w:hAnsi="Times New Roman" w:eastAsia="宋体"/>
          <w:kern w:val="0"/>
          <w:sz w:val="32"/>
          <w:szCs w:val="32"/>
          <w:u w:val="single"/>
          <w:lang w:val="en-US" w:eastAsia="zh-CN"/>
        </w:rPr>
        <w:t>103.35</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。决算数与年初预算数的差异原因：</w:t>
      </w:r>
      <w:r>
        <w:rPr>
          <w:rFonts w:hint="eastAsia" w:ascii="Times New Roman" w:hAnsi="Times New Roman" w:eastAsia="方正仿宋_GB2312" w:cs="仿宋_GB2312"/>
          <w:color w:val="000000" w:themeColor="text1"/>
          <w:kern w:val="0"/>
          <w:sz w:val="32"/>
          <w:szCs w:val="32"/>
          <w:lang w:val="en-US" w:eastAsia="zh-CN"/>
          <w14:textFill>
            <w14:solidFill>
              <w14:schemeClr w14:val="tx1"/>
            </w14:solidFill>
          </w14:textFill>
        </w:rPr>
        <w:t>自治区财政根据工资调整政策中途追加部分人员经费用于支付</w:t>
      </w:r>
      <w:r>
        <w:rPr>
          <w:rFonts w:ascii="Times New Roman" w:hAnsi="Times New Roman" w:eastAsia="FangSong_GB2312" w:cs="FangSong_GB2312"/>
          <w:kern w:val="0"/>
          <w:sz w:val="32"/>
          <w:szCs w:val="32"/>
        </w:rPr>
        <w:t>职业年金。</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eastAsia="en-US"/>
        </w:rPr>
        <w:t>4.抚恤（款）死亡抚恤（项）。年初预算</w:t>
      </w:r>
      <w:r>
        <w:rPr>
          <w:rFonts w:hint="eastAsia" w:ascii="Times New Roman" w:hAnsi="Times New Roman" w:eastAsia="宋体"/>
          <w:kern w:val="0"/>
          <w:sz w:val="32"/>
          <w:szCs w:val="32"/>
          <w:u w:val="single"/>
          <w:lang w:val="en-US" w:eastAsia="en-US"/>
        </w:rPr>
        <w:t>0</w:t>
      </w:r>
      <w:r>
        <w:rPr>
          <w:rFonts w:hint="eastAsia" w:ascii="Times New Roman" w:hAnsi="Times New Roman" w:eastAsia="FangSong_GB2312" w:cs="FangSong_GB2312"/>
          <w:kern w:val="0"/>
          <w:sz w:val="32"/>
          <w:szCs w:val="32"/>
          <w:lang w:eastAsia="en-US"/>
        </w:rPr>
        <w:t>万元，支出决算</w:t>
      </w:r>
      <w:r>
        <w:rPr>
          <w:rFonts w:hint="eastAsia" w:ascii="Times New Roman" w:hAnsi="Times New Roman" w:eastAsia="宋体"/>
          <w:kern w:val="0"/>
          <w:sz w:val="32"/>
          <w:szCs w:val="32"/>
          <w:u w:val="single"/>
          <w:lang w:val="en-US" w:eastAsia="en-US"/>
        </w:rPr>
        <w:t>2</w:t>
      </w:r>
      <w:r>
        <w:rPr>
          <w:rFonts w:hint="eastAsia" w:ascii="Times New Roman" w:hAnsi="Times New Roman" w:eastAsia="宋体"/>
          <w:kern w:val="0"/>
          <w:sz w:val="32"/>
          <w:szCs w:val="32"/>
          <w:u w:val="single"/>
          <w:lang w:val="en-US" w:eastAsia="zh-CN"/>
        </w:rPr>
        <w:t>2.49</w:t>
      </w:r>
      <w:r>
        <w:rPr>
          <w:rFonts w:hint="eastAsia" w:ascii="Times New Roman" w:hAnsi="Times New Roman" w:eastAsia="FangSong_GB2312" w:cs="FangSong_GB2312"/>
          <w:kern w:val="0"/>
          <w:sz w:val="32"/>
          <w:szCs w:val="32"/>
          <w:lang w:eastAsia="en-US"/>
        </w:rPr>
        <w:t>万元，完成年初预算的</w:t>
      </w:r>
      <w:r>
        <w:rPr>
          <w:rFonts w:hint="eastAsia" w:ascii="Times New Roman" w:hAnsi="Times New Roman" w:eastAsia="宋体"/>
          <w:kern w:val="0"/>
          <w:sz w:val="32"/>
          <w:szCs w:val="32"/>
          <w:u w:val="single"/>
          <w:lang w:val="en-US" w:eastAsia="en-US"/>
        </w:rPr>
        <w:t>100%</w:t>
      </w:r>
      <w:r>
        <w:rPr>
          <w:rFonts w:hint="eastAsia" w:ascii="Times New Roman" w:hAnsi="Times New Roman" w:eastAsia="FangSong_GB2312" w:cs="FangSong_GB2312"/>
          <w:kern w:val="0"/>
          <w:sz w:val="32"/>
          <w:szCs w:val="32"/>
          <w:lang w:eastAsia="en-US"/>
        </w:rPr>
        <w:t>。决算数与年初预算数的差异原因：中途根据实际情况追加死亡抚恤金。</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w:t>
      </w:r>
      <w:r>
        <w:rPr>
          <w:rFonts w:hint="eastAsia" w:ascii="Times New Roman" w:hAnsi="Times New Roman" w:eastAsia="楷体" w:cs="楷体"/>
          <w:b/>
          <w:bCs/>
          <w:kern w:val="0"/>
          <w:sz w:val="32"/>
          <w:szCs w:val="32"/>
          <w:lang w:val="en-US" w:eastAsia="zh-CN"/>
        </w:rPr>
        <w:t>二</w:t>
      </w:r>
      <w:r>
        <w:rPr>
          <w:rFonts w:ascii="Times New Roman" w:hAnsi="Times New Roman" w:eastAsia="楷体" w:cs="楷体"/>
          <w:b/>
          <w:bCs/>
          <w:kern w:val="0"/>
          <w:sz w:val="32"/>
          <w:szCs w:val="32"/>
        </w:rPr>
        <w:t>）卫生健康支出（类）</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卫生健康支出（类）决算数为</w:t>
      </w:r>
      <w:r>
        <w:rPr>
          <w:rFonts w:ascii="Times New Roman" w:hAnsi="Times New Roman" w:eastAsia="Times New Roman"/>
          <w:kern w:val="0"/>
          <w:sz w:val="32"/>
          <w:szCs w:val="32"/>
          <w:u w:val="single"/>
          <w:lang w:eastAsia="en-US"/>
        </w:rPr>
        <w:t>71.92</w:t>
      </w:r>
      <w:r>
        <w:rPr>
          <w:rFonts w:ascii="Times New Roman" w:hAnsi="Times New Roman" w:eastAsia="FangSong_GB2312" w:cs="FangSong_GB2312"/>
          <w:kern w:val="0"/>
          <w:sz w:val="32"/>
          <w:szCs w:val="32"/>
        </w:rPr>
        <w:t>万元，与年初预算相比增加</w:t>
      </w:r>
      <w:r>
        <w:rPr>
          <w:rFonts w:ascii="Times New Roman" w:hAnsi="Times New Roman" w:eastAsia="Times New Roman"/>
          <w:kern w:val="0"/>
          <w:sz w:val="32"/>
          <w:szCs w:val="32"/>
          <w:u w:val="single"/>
          <w:lang w:eastAsia="en-US"/>
        </w:rPr>
        <w:t>1.92</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1</w:t>
      </w:r>
      <w:r>
        <w:rPr>
          <w:rFonts w:ascii="Times New Roman" w:hAnsi="Times New Roman" w:eastAsia="FangSong_GB2312" w:cs="FangSong_GB2312"/>
          <w:kern w:val="0"/>
          <w:sz w:val="32"/>
          <w:szCs w:val="32"/>
        </w:rPr>
        <w:t>．行政事业单位医疗（款）事业单位医疗（项）。年初预算</w:t>
      </w:r>
      <w:r>
        <w:rPr>
          <w:rFonts w:hint="eastAsia" w:ascii="Times New Roman" w:hAnsi="Times New Roman" w:eastAsia="宋体"/>
          <w:kern w:val="0"/>
          <w:sz w:val="32"/>
          <w:szCs w:val="32"/>
          <w:u w:val="single"/>
          <w:lang w:val="en-US" w:eastAsia="zh-CN"/>
        </w:rPr>
        <w:t>40</w:t>
      </w:r>
      <w:r>
        <w:rPr>
          <w:rFonts w:ascii="Times New Roman" w:hAnsi="Times New Roman" w:eastAsia="FangSong_GB2312" w:cs="FangSong_GB2312"/>
          <w:kern w:val="0"/>
          <w:sz w:val="32"/>
          <w:szCs w:val="32"/>
        </w:rPr>
        <w:t>万元，支出决算</w:t>
      </w:r>
      <w:r>
        <w:rPr>
          <w:rFonts w:hint="eastAsia" w:ascii="Times New Roman" w:hAnsi="Times New Roman" w:eastAsia="宋体"/>
          <w:kern w:val="0"/>
          <w:sz w:val="32"/>
          <w:szCs w:val="32"/>
          <w:u w:val="single"/>
          <w:lang w:val="en-US" w:eastAsia="zh-CN"/>
        </w:rPr>
        <w:t>41.92</w:t>
      </w:r>
      <w:r>
        <w:rPr>
          <w:rFonts w:ascii="Times New Roman" w:hAnsi="Times New Roman" w:eastAsia="FangSong_GB2312" w:cs="FangSong_GB2312"/>
          <w:kern w:val="0"/>
          <w:sz w:val="32"/>
          <w:szCs w:val="32"/>
        </w:rPr>
        <w:t>万元，完成年初预算的</w:t>
      </w:r>
      <w:r>
        <w:rPr>
          <w:rFonts w:hint="eastAsia" w:ascii="Times New Roman" w:hAnsi="Times New Roman" w:eastAsia="宋体"/>
          <w:kern w:val="0"/>
          <w:sz w:val="32"/>
          <w:szCs w:val="32"/>
          <w:u w:val="single"/>
          <w:lang w:val="en-US" w:eastAsia="zh-CN"/>
        </w:rPr>
        <w:t>104.8</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。决算数与年初预算数的差异原因：</w:t>
      </w:r>
      <w:r>
        <w:rPr>
          <w:rFonts w:hint="eastAsia" w:ascii="Times New Roman" w:hAnsi="Times New Roman" w:eastAsia="FangSong_GB2312" w:cs="FangSong_GB2312"/>
          <w:kern w:val="0"/>
          <w:sz w:val="32"/>
          <w:szCs w:val="32"/>
          <w:lang w:eastAsia="en-US"/>
        </w:rPr>
        <w:t>自治区财政根据工资调整政策中途追加部分人员经费用于支付</w:t>
      </w:r>
      <w:r>
        <w:rPr>
          <w:rFonts w:ascii="Times New Roman" w:hAnsi="Times New Roman" w:eastAsia="FangSong_GB2312" w:cs="FangSong_GB2312"/>
          <w:kern w:val="0"/>
          <w:sz w:val="32"/>
          <w:szCs w:val="32"/>
        </w:rPr>
        <w:t>事业单位医疗。</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zh-CN"/>
        </w:rPr>
      </w:pPr>
      <w:r>
        <w:rPr>
          <w:rFonts w:hint="eastAsia" w:ascii="Times New Roman" w:hAnsi="Times New Roman" w:eastAsia="宋体"/>
          <w:kern w:val="0"/>
          <w:sz w:val="32"/>
          <w:szCs w:val="32"/>
          <w:lang w:val="en-US" w:eastAsia="zh-CN"/>
        </w:rPr>
        <w:t>2</w:t>
      </w:r>
      <w:r>
        <w:rPr>
          <w:rFonts w:ascii="Times New Roman" w:hAnsi="Times New Roman" w:eastAsia="FangSong_GB2312" w:cs="FangSong_GB2312"/>
          <w:kern w:val="0"/>
          <w:sz w:val="32"/>
          <w:szCs w:val="32"/>
        </w:rPr>
        <w:t>．行政事业单位医疗（款）公务员医疗补助（项）。年初预算</w:t>
      </w:r>
      <w:r>
        <w:rPr>
          <w:rFonts w:hint="eastAsia" w:ascii="Times New Roman" w:hAnsi="Times New Roman" w:eastAsia="宋体"/>
          <w:kern w:val="0"/>
          <w:sz w:val="32"/>
          <w:szCs w:val="32"/>
          <w:u w:val="single"/>
          <w:lang w:val="en-US" w:eastAsia="zh-CN"/>
        </w:rPr>
        <w:t>30</w:t>
      </w:r>
      <w:r>
        <w:rPr>
          <w:rFonts w:ascii="Times New Roman" w:hAnsi="Times New Roman" w:eastAsia="FangSong_GB2312" w:cs="FangSong_GB2312"/>
          <w:kern w:val="0"/>
          <w:sz w:val="32"/>
          <w:szCs w:val="32"/>
        </w:rPr>
        <w:t>万元，支出决算</w:t>
      </w:r>
      <w:r>
        <w:rPr>
          <w:rFonts w:hint="eastAsia" w:ascii="Times New Roman" w:hAnsi="Times New Roman" w:eastAsia="宋体"/>
          <w:kern w:val="0"/>
          <w:sz w:val="32"/>
          <w:szCs w:val="32"/>
          <w:u w:val="single"/>
          <w:lang w:val="en-US" w:eastAsia="zh-CN"/>
        </w:rPr>
        <w:t>30</w:t>
      </w:r>
      <w:r>
        <w:rPr>
          <w:rFonts w:ascii="Times New Roman" w:hAnsi="Times New Roman" w:eastAsia="FangSong_GB2312" w:cs="FangSong_GB2312"/>
          <w:kern w:val="0"/>
          <w:sz w:val="32"/>
          <w:szCs w:val="32"/>
        </w:rPr>
        <w:t>万元，完成年初预算的</w:t>
      </w:r>
      <w:r>
        <w:rPr>
          <w:rFonts w:hint="eastAsia" w:ascii="Times New Roman" w:hAnsi="Times New Roman" w:eastAsia="宋体"/>
          <w:kern w:val="0"/>
          <w:sz w:val="32"/>
          <w:szCs w:val="32"/>
          <w:u w:val="single"/>
          <w:lang w:val="en-US" w:eastAsia="zh-CN"/>
        </w:rPr>
        <w:t>100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r>
        <w:rPr>
          <w:rFonts w:hint="eastAsia" w:ascii="Times New Roman" w:hAnsi="Times New Roman" w:eastAsia="FangSong_GB2312" w:cs="FangSong_GB2312"/>
          <w:kern w:val="0"/>
          <w:sz w:val="32"/>
          <w:szCs w:val="32"/>
        </w:rPr>
        <w:t>决算数与年初预算数无差异</w:t>
      </w:r>
      <w:r>
        <w:rPr>
          <w:rFonts w:hint="eastAsia" w:ascii="Times New Roman" w:hAnsi="Times New Roman" w:eastAsia="FangSong_GB2312" w:cs="FangSong_GB2312"/>
          <w:kern w:val="0"/>
          <w:sz w:val="32"/>
          <w:szCs w:val="32"/>
          <w:lang w:eastAsia="zh-CN"/>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w:t>
      </w:r>
      <w:r>
        <w:rPr>
          <w:rFonts w:hint="eastAsia" w:ascii="Times New Roman" w:hAnsi="Times New Roman" w:eastAsia="楷体" w:cs="楷体"/>
          <w:b/>
          <w:bCs/>
          <w:kern w:val="0"/>
          <w:sz w:val="32"/>
          <w:szCs w:val="32"/>
          <w:lang w:val="en-US" w:eastAsia="zh-CN"/>
        </w:rPr>
        <w:t>三</w:t>
      </w:r>
      <w:r>
        <w:rPr>
          <w:rFonts w:ascii="Times New Roman" w:hAnsi="Times New Roman" w:eastAsia="楷体" w:cs="楷体"/>
          <w:b/>
          <w:bCs/>
          <w:kern w:val="0"/>
          <w:sz w:val="32"/>
          <w:szCs w:val="32"/>
        </w:rPr>
        <w:t>）住房保障支出（类）</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住房保障支出（类）决算数为</w:t>
      </w:r>
      <w:r>
        <w:rPr>
          <w:rFonts w:ascii="Times New Roman" w:hAnsi="Times New Roman" w:eastAsia="Times New Roman"/>
          <w:kern w:val="0"/>
          <w:sz w:val="32"/>
          <w:szCs w:val="32"/>
          <w:u w:val="single"/>
          <w:lang w:eastAsia="en-US"/>
        </w:rPr>
        <w:t>82.01</w:t>
      </w:r>
      <w:r>
        <w:rPr>
          <w:rFonts w:ascii="Times New Roman" w:hAnsi="Times New Roman" w:eastAsia="FangSong_GB2312" w:cs="FangSong_GB2312"/>
          <w:kern w:val="0"/>
          <w:sz w:val="32"/>
          <w:szCs w:val="32"/>
        </w:rPr>
        <w:t>万元，与年初预算相比增加</w:t>
      </w:r>
      <w:r>
        <w:rPr>
          <w:rFonts w:ascii="Times New Roman" w:hAnsi="Times New Roman" w:eastAsia="Times New Roman"/>
          <w:kern w:val="0"/>
          <w:sz w:val="32"/>
          <w:szCs w:val="32"/>
          <w:u w:val="single"/>
          <w:lang w:eastAsia="en-US"/>
        </w:rPr>
        <w:t>2.01</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kern w:val="0"/>
          <w:sz w:val="32"/>
          <w:szCs w:val="32"/>
          <w:lang w:eastAsia="en-US"/>
        </w:rPr>
        <w:t>1</w:t>
      </w:r>
      <w:r>
        <w:rPr>
          <w:rFonts w:ascii="Times New Roman" w:hAnsi="Times New Roman" w:eastAsia="FangSong_GB2312" w:cs="FangSong_GB2312"/>
          <w:kern w:val="0"/>
          <w:sz w:val="32"/>
          <w:szCs w:val="32"/>
        </w:rPr>
        <w:t>．住房改革支出（款）住房公积金（项）。年初预算</w:t>
      </w:r>
      <w:r>
        <w:rPr>
          <w:rFonts w:hint="eastAsia" w:ascii="Times New Roman" w:hAnsi="Times New Roman" w:eastAsia="宋体"/>
          <w:kern w:val="0"/>
          <w:sz w:val="32"/>
          <w:szCs w:val="32"/>
          <w:u w:val="single"/>
          <w:lang w:val="en-US" w:eastAsia="zh-CN"/>
        </w:rPr>
        <w:t>80</w:t>
      </w:r>
      <w:r>
        <w:rPr>
          <w:rFonts w:ascii="Times New Roman" w:hAnsi="Times New Roman" w:eastAsia="FangSong_GB2312" w:cs="FangSong_GB2312"/>
          <w:kern w:val="0"/>
          <w:sz w:val="32"/>
          <w:szCs w:val="32"/>
        </w:rPr>
        <w:t>万元，支出决算</w:t>
      </w:r>
      <w:r>
        <w:rPr>
          <w:rFonts w:hint="eastAsia" w:ascii="Times New Roman" w:hAnsi="Times New Roman" w:eastAsia="宋体"/>
          <w:kern w:val="0"/>
          <w:sz w:val="32"/>
          <w:szCs w:val="32"/>
          <w:u w:val="single"/>
          <w:lang w:val="en-US" w:eastAsia="zh-CN"/>
        </w:rPr>
        <w:t>82.01</w:t>
      </w:r>
      <w:r>
        <w:rPr>
          <w:rFonts w:ascii="Times New Roman" w:hAnsi="Times New Roman" w:eastAsia="FangSong_GB2312" w:cs="FangSong_GB2312"/>
          <w:kern w:val="0"/>
          <w:sz w:val="32"/>
          <w:szCs w:val="32"/>
        </w:rPr>
        <w:t>万元，完成年初预算的</w:t>
      </w:r>
      <w:r>
        <w:rPr>
          <w:rFonts w:hint="eastAsia" w:ascii="Times New Roman" w:hAnsi="Times New Roman" w:eastAsia="宋体"/>
          <w:kern w:val="0"/>
          <w:sz w:val="32"/>
          <w:szCs w:val="32"/>
          <w:u w:val="single"/>
          <w:lang w:val="en-US" w:eastAsia="zh-CN"/>
        </w:rPr>
        <w:t>102.51</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。决算数与年初预算数的差异原因：</w:t>
      </w:r>
      <w:r>
        <w:rPr>
          <w:rFonts w:hint="eastAsia" w:ascii="Times New Roman" w:hAnsi="Times New Roman" w:eastAsia="FangSong_GB2312" w:cs="FangSong_GB2312"/>
          <w:kern w:val="0"/>
          <w:sz w:val="32"/>
          <w:szCs w:val="32"/>
          <w:lang w:eastAsia="en-US"/>
        </w:rPr>
        <w:t>自治区财政根据工资调整政策中途追加部分人员经费用于支付</w:t>
      </w:r>
      <w:r>
        <w:rPr>
          <w:rFonts w:hint="eastAsia" w:ascii="Times New Roman" w:hAnsi="Times New Roman" w:eastAsia="FangSong_GB2312" w:cs="FangSong_GB2312"/>
          <w:kern w:val="0"/>
          <w:sz w:val="32"/>
          <w:szCs w:val="32"/>
          <w:lang w:val="en-US" w:eastAsia="zh-CN"/>
        </w:rPr>
        <w:t>住房公积金</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黑体" w:cs="黑体"/>
          <w:b/>
          <w:bCs/>
          <w:kern w:val="0"/>
          <w:sz w:val="32"/>
          <w:szCs w:val="32"/>
        </w:rPr>
      </w:pP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六、一般公共预算财政拨款基本支出决算情况说明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年度一般公共预算财政拨款基本支出决算</w:t>
      </w:r>
      <w:r>
        <w:rPr>
          <w:rFonts w:ascii="Times New Roman" w:hAnsi="Times New Roman" w:eastAsia="Times New Roman"/>
          <w:kern w:val="0"/>
          <w:sz w:val="32"/>
          <w:szCs w:val="32"/>
          <w:u w:val="single"/>
          <w:lang w:eastAsia="en-US"/>
        </w:rPr>
        <w:t>1064.50</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（一）人员经费</w:t>
      </w:r>
      <w:r>
        <w:rPr>
          <w:rFonts w:ascii="Times New Roman" w:hAnsi="Times New Roman" w:eastAsia="Times New Roman"/>
          <w:kern w:val="0"/>
          <w:sz w:val="32"/>
          <w:szCs w:val="32"/>
          <w:u w:val="single"/>
          <w:lang w:eastAsia="en-US"/>
        </w:rPr>
        <w:t>1062.18</w:t>
      </w:r>
      <w:r>
        <w:rPr>
          <w:rFonts w:ascii="Times New Roman" w:hAnsi="Times New Roman" w:eastAsia="楷体" w:cs="楷体"/>
          <w:b/>
          <w:bCs/>
          <w:kern w:val="0"/>
          <w:sz w:val="32"/>
          <w:szCs w:val="32"/>
        </w:rPr>
        <w:t>万元。</w:t>
      </w:r>
      <w:r>
        <w:rPr>
          <w:rFonts w:ascii="Times New Roman" w:hAnsi="Times New Roman" w:eastAsia="FangSong_GB2312" w:cs="FangSong_GB2312"/>
          <w:kern w:val="0"/>
          <w:sz w:val="32"/>
          <w:szCs w:val="32"/>
        </w:rPr>
        <w:t>主要包括：基本工资、津贴补贴、奖金、绩效工资、机关事业单位基本养老保险缴费、职业年金缴费、职工基本医疗保险缴费、公务员医疗补助缴费、住房公积金、退休费、抚恤金、</w:t>
      </w:r>
      <w:r>
        <w:rPr>
          <w:rFonts w:hint="eastAsia" w:ascii="Times New Roman" w:hAnsi="Times New Roman" w:eastAsia="FangSong_GB2312" w:cs="FangSong_GB2312"/>
          <w:kern w:val="0"/>
          <w:sz w:val="32"/>
          <w:szCs w:val="32"/>
          <w:lang w:val="en-US" w:eastAsia="zh-CN"/>
        </w:rPr>
        <w:t>遗属</w:t>
      </w:r>
      <w:r>
        <w:rPr>
          <w:rFonts w:ascii="Times New Roman" w:hAnsi="Times New Roman" w:eastAsia="FangSong_GB2312" w:cs="FangSong_GB2312"/>
          <w:kern w:val="0"/>
          <w:sz w:val="32"/>
          <w:szCs w:val="32"/>
        </w:rPr>
        <w:t>生活补助。</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（二）公用经费</w:t>
      </w:r>
      <w:r>
        <w:rPr>
          <w:rFonts w:ascii="Times New Roman" w:hAnsi="Times New Roman" w:eastAsia="Times New Roman"/>
          <w:kern w:val="0"/>
          <w:sz w:val="32"/>
          <w:szCs w:val="32"/>
          <w:u w:val="single"/>
          <w:lang w:eastAsia="en-US"/>
        </w:rPr>
        <w:t>2.32</w:t>
      </w:r>
      <w:r>
        <w:rPr>
          <w:rFonts w:ascii="Times New Roman" w:hAnsi="Times New Roman" w:eastAsia="楷体" w:cs="楷体"/>
          <w:b/>
          <w:bCs/>
          <w:kern w:val="0"/>
          <w:sz w:val="32"/>
          <w:szCs w:val="32"/>
        </w:rPr>
        <w:t>万元。</w:t>
      </w:r>
      <w:r>
        <w:rPr>
          <w:rFonts w:ascii="Times New Roman" w:hAnsi="Times New Roman" w:eastAsia="FangSong_GB2312" w:cs="FangSong_GB2312"/>
          <w:kern w:val="0"/>
          <w:sz w:val="32"/>
          <w:szCs w:val="32"/>
        </w:rPr>
        <w:t>主要包括：其他商品和服务支出。</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七、一般公共预算财政拨款项目支出决算情况说明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年度一般公共预算财政拨款项目支出决算</w:t>
      </w:r>
      <w:r>
        <w:rPr>
          <w:rFonts w:ascii="Times New Roman" w:hAnsi="Times New Roman" w:eastAsia="Times New Roman"/>
          <w:kern w:val="0"/>
          <w:sz w:val="32"/>
          <w:szCs w:val="32"/>
          <w:u w:val="single"/>
          <w:lang w:eastAsia="en-US"/>
        </w:rPr>
        <w:t>1253.29</w:t>
      </w:r>
      <w:r>
        <w:rPr>
          <w:rFonts w:ascii="Times New Roman" w:hAnsi="Times New Roman" w:eastAsia="FangSong_GB2312" w:cs="FangSong_GB2312"/>
          <w:kern w:val="0"/>
          <w:sz w:val="32"/>
          <w:szCs w:val="32"/>
        </w:rPr>
        <w:t>万元，其中：</w:t>
      </w:r>
    </w:p>
    <w:p>
      <w:pPr>
        <w:pStyle w:val="31"/>
        <w:keepNext w:val="0"/>
        <w:keepLines w:val="0"/>
        <w:pageBreakBefore w:val="0"/>
        <w:widowControl/>
        <w:numPr>
          <w:ilvl w:val="0"/>
          <w:numId w:val="0"/>
        </w:numPr>
        <w:kinsoku/>
        <w:wordWrap/>
        <w:overflowPunct/>
        <w:topLinePunct w:val="0"/>
        <w:autoSpaceDE/>
        <w:autoSpaceDN/>
        <w:bidi w:val="0"/>
        <w:adjustRightInd/>
        <w:snapToGrid/>
        <w:spacing w:line="600" w:lineRule="exact"/>
        <w:ind w:left="638" w:leftChars="304" w:firstLine="0" w:firstLineChars="0"/>
        <w:jc w:val="left"/>
        <w:textAlignment w:val="auto"/>
        <w:rPr>
          <w:rFonts w:hint="eastAsia" w:ascii="Times New Roman" w:hAnsi="Times New Roman" w:eastAsia="FangSong_GB2312" w:cs="FangSong_GB2312"/>
          <w:kern w:val="0"/>
          <w:sz w:val="32"/>
          <w:szCs w:val="32"/>
          <w:lang w:eastAsia="zh-CN"/>
        </w:rPr>
      </w:pPr>
      <w:r>
        <w:rPr>
          <w:rFonts w:hint="eastAsia" w:ascii="Times New Roman" w:hAnsi="Times New Roman" w:eastAsia="FangSong_GB2312" w:cs="FangSong_GB2312"/>
          <w:b/>
          <w:bCs/>
          <w:kern w:val="0"/>
          <w:sz w:val="32"/>
          <w:szCs w:val="32"/>
          <w:lang w:val="en-US" w:eastAsia="zh-CN" w:bidi="ar-SA"/>
        </w:rPr>
        <w:t>（一）</w:t>
      </w:r>
      <w:r>
        <w:rPr>
          <w:rFonts w:ascii="Times New Roman" w:hAnsi="Times New Roman" w:eastAsia="FangSong_GB2312" w:cs="FangSong_GB2312"/>
          <w:b/>
          <w:bCs/>
          <w:kern w:val="0"/>
          <w:sz w:val="32"/>
          <w:szCs w:val="32"/>
        </w:rPr>
        <w:t>工资福利支出</w:t>
      </w:r>
      <w:r>
        <w:rPr>
          <w:rFonts w:ascii="Times New Roman" w:hAnsi="Times New Roman" w:eastAsia="Times New Roman"/>
          <w:kern w:val="0"/>
          <w:sz w:val="32"/>
          <w:szCs w:val="32"/>
          <w:u w:val="single"/>
          <w:lang w:eastAsia="en-US"/>
        </w:rPr>
        <w:t>355.00</w:t>
      </w:r>
      <w:r>
        <w:rPr>
          <w:rFonts w:ascii="Times New Roman" w:hAnsi="Times New Roman" w:eastAsia="FangSong_GB2312" w:cs="FangSong_GB2312"/>
          <w:b/>
          <w:bCs/>
          <w:kern w:val="0"/>
          <w:sz w:val="32"/>
          <w:szCs w:val="32"/>
        </w:rPr>
        <w:t>万元。</w:t>
      </w:r>
      <w:r>
        <w:rPr>
          <w:rFonts w:ascii="Times New Roman" w:hAnsi="Times New Roman" w:eastAsia="FangSong_GB2312" w:cs="FangSong_GB2312"/>
          <w:kern w:val="0"/>
          <w:sz w:val="32"/>
          <w:szCs w:val="32"/>
        </w:rPr>
        <w:t>主要包括：绩效工资</w:t>
      </w:r>
      <w:r>
        <w:rPr>
          <w:rFonts w:hint="eastAsia" w:ascii="Times New Roman" w:hAnsi="Times New Roman" w:eastAsia="FangSong_GB2312" w:cs="FangSong_GB2312"/>
          <w:kern w:val="0"/>
          <w:sz w:val="32"/>
          <w:szCs w:val="32"/>
          <w:lang w:eastAsia="zh-CN"/>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hint="eastAsia" w:ascii="Times New Roman" w:hAnsi="Times New Roman" w:eastAsia="FangSong_GB2312" w:cs="FangSong_GB2312"/>
          <w:kern w:val="0"/>
          <w:sz w:val="32"/>
          <w:szCs w:val="32"/>
          <w:lang w:eastAsia="zh-CN"/>
        </w:rPr>
      </w:pPr>
      <w:r>
        <w:rPr>
          <w:rFonts w:hint="eastAsia" w:eastAsia="FangSong_GB2312" w:cs="FangSong_GB2312"/>
          <w:b/>
          <w:bCs/>
          <w:kern w:val="0"/>
          <w:sz w:val="32"/>
          <w:szCs w:val="32"/>
          <w:lang w:eastAsia="zh-CN"/>
        </w:rPr>
        <w:t>（</w:t>
      </w:r>
      <w:r>
        <w:rPr>
          <w:rFonts w:hint="eastAsia" w:eastAsia="FangSong_GB2312" w:cs="FangSong_GB2312"/>
          <w:b/>
          <w:bCs/>
          <w:kern w:val="0"/>
          <w:sz w:val="32"/>
          <w:szCs w:val="32"/>
          <w:lang w:val="en-US" w:eastAsia="zh-CN"/>
        </w:rPr>
        <w:t>二</w:t>
      </w:r>
      <w:r>
        <w:rPr>
          <w:rFonts w:hint="eastAsia" w:eastAsia="FangSong_GB2312" w:cs="FangSong_GB2312"/>
          <w:b/>
          <w:bCs/>
          <w:kern w:val="0"/>
          <w:sz w:val="32"/>
          <w:szCs w:val="32"/>
          <w:lang w:eastAsia="zh-CN"/>
        </w:rPr>
        <w:t>）</w:t>
      </w:r>
      <w:r>
        <w:rPr>
          <w:rFonts w:ascii="Times New Roman" w:hAnsi="Times New Roman" w:eastAsia="FangSong_GB2312" w:cs="FangSong_GB2312"/>
          <w:b/>
          <w:bCs/>
          <w:kern w:val="0"/>
          <w:sz w:val="32"/>
          <w:szCs w:val="32"/>
        </w:rPr>
        <w:t>商品和服务支出</w:t>
      </w:r>
      <w:r>
        <w:rPr>
          <w:rFonts w:ascii="Times New Roman" w:hAnsi="Times New Roman" w:eastAsia="Times New Roman"/>
          <w:b w:val="0"/>
          <w:bCs w:val="0"/>
          <w:kern w:val="0"/>
          <w:sz w:val="32"/>
          <w:szCs w:val="32"/>
          <w:u w:val="single"/>
          <w:lang w:eastAsia="en-US"/>
        </w:rPr>
        <w:t>894.83</w:t>
      </w:r>
      <w:r>
        <w:rPr>
          <w:rFonts w:ascii="Times New Roman" w:hAnsi="Times New Roman" w:eastAsia="FangSong_GB2312" w:cs="FangSong_GB2312"/>
          <w:b/>
          <w:bCs/>
          <w:kern w:val="0"/>
          <w:sz w:val="32"/>
          <w:szCs w:val="32"/>
        </w:rPr>
        <w:t>万元。</w:t>
      </w:r>
      <w:r>
        <w:rPr>
          <w:rFonts w:ascii="Times New Roman" w:hAnsi="Times New Roman" w:eastAsia="FangSong_GB2312" w:cs="FangSong_GB2312"/>
          <w:kern w:val="0"/>
          <w:sz w:val="32"/>
          <w:szCs w:val="32"/>
        </w:rPr>
        <w:t>主要包括：办公费、印刷费、邮电费、差旅费、租赁费、培训费、劳务费、委托业务费、其他商品和服务支出。</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（三）资本性支出</w:t>
      </w:r>
      <w:r>
        <w:rPr>
          <w:rFonts w:ascii="Times New Roman" w:hAnsi="Times New Roman" w:eastAsia="Times New Roman"/>
          <w:kern w:val="0"/>
          <w:sz w:val="32"/>
          <w:szCs w:val="32"/>
          <w:u w:val="single"/>
          <w:lang w:eastAsia="en-US"/>
        </w:rPr>
        <w:t>3.46</w:t>
      </w:r>
      <w:r>
        <w:rPr>
          <w:rFonts w:ascii="Times New Roman" w:hAnsi="Times New Roman" w:eastAsia="FangSong_GB2312" w:cs="FangSong_GB2312"/>
          <w:b/>
          <w:bCs/>
          <w:kern w:val="0"/>
          <w:sz w:val="32"/>
          <w:szCs w:val="32"/>
        </w:rPr>
        <w:t>万元。</w:t>
      </w:r>
      <w:r>
        <w:rPr>
          <w:rFonts w:ascii="Times New Roman" w:hAnsi="Times New Roman" w:eastAsia="FangSong_GB2312" w:cs="FangSong_GB2312"/>
          <w:kern w:val="0"/>
          <w:sz w:val="32"/>
          <w:szCs w:val="32"/>
        </w:rPr>
        <w:t>主要包括：办公设备购置。</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Times New Roman" w:hAnsi="Times New Roman"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Times New Roman" w:hAnsi="Times New Roman" w:eastAsia="黑体" w:cs="黑体"/>
          <w:b/>
          <w:bCs/>
          <w:kern w:val="0"/>
          <w:sz w:val="32"/>
          <w:szCs w:val="32"/>
        </w:rPr>
        <w:t>经费支出决算情况说明</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Times New Roman" w:hAnsi="Times New Roman"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Times New Roman" w:hAnsi="Times New Roman" w:eastAsia="楷体" w:cs="楷体"/>
          <w:b/>
          <w:bCs/>
          <w:kern w:val="0"/>
          <w:sz w:val="32"/>
          <w:szCs w:val="32"/>
        </w:rPr>
        <w:t>经费支出总体情况说明。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年度财政拨款“三公”经费全年预算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万元，完成预算的</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。其中：因公出国（境）费全年预算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万元，完成预算的</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；公务用车购置及运行维护费全年预算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万元，完成预算的</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；公务接待费全年预算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万元，完成预算的</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年度一般公共预算财政拨款“三公”经费全年预算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w:t>
      </w:r>
      <w:r>
        <w:rPr>
          <w:rFonts w:hint="eastAsia" w:ascii="Times New Roman" w:hAnsi="Times New Roman" w:eastAsia="FangSong_GB2312" w:cs="FangSong_GB2312"/>
          <w:kern w:val="0"/>
          <w:sz w:val="32"/>
          <w:szCs w:val="32"/>
          <w:lang w:eastAsia="zh-CN"/>
        </w:rPr>
        <w:t>。</w:t>
      </w:r>
      <w:r>
        <w:rPr>
          <w:rFonts w:hint="eastAsia" w:ascii="Times New Roman" w:hAnsi="Times New Roman" w:eastAsia="Times New Roman"/>
          <w:kern w:val="0"/>
          <w:sz w:val="32"/>
          <w:szCs w:val="32"/>
          <w:u w:val="none"/>
          <w:lang w:eastAsia="en-US"/>
        </w:rPr>
        <w:t>202</w:t>
      </w:r>
      <w:r>
        <w:rPr>
          <w:rFonts w:hint="eastAsia" w:ascii="Times New Roman" w:hAnsi="Times New Roman" w:eastAsia="Times New Roman"/>
          <w:kern w:val="0"/>
          <w:sz w:val="32"/>
          <w:szCs w:val="32"/>
          <w:u w:val="none"/>
          <w:lang w:val="en-US" w:eastAsia="zh-CN"/>
        </w:rPr>
        <w:t>5</w:t>
      </w:r>
      <w:r>
        <w:rPr>
          <w:rFonts w:hint="eastAsia" w:ascii="Times New Roman" w:hAnsi="Times New Roman" w:eastAsia="FangSong_GB2312" w:cs="FangSong_GB2312"/>
          <w:kern w:val="0"/>
          <w:sz w:val="32"/>
          <w:szCs w:val="32"/>
        </w:rPr>
        <w:t>年度一般公共预算财政拨款“三公”经费支出决算与预算无差异</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Times New Roman" w:hAnsi="Times New Roman"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Times New Roman" w:hAnsi="Times New Roman" w:eastAsia="楷体" w:cs="楷体"/>
          <w:b/>
          <w:bCs/>
          <w:kern w:val="0"/>
          <w:sz w:val="32"/>
          <w:szCs w:val="32"/>
        </w:rPr>
        <w:t>经费支出具体情况说明。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年度财政拨款“三公”经费支出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万元。因公出国（境）费支出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；公务用车购置及运行维护费支出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；公务接待费支出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。其中：</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b/>
          <w:bCs/>
          <w:kern w:val="0"/>
          <w:sz w:val="32"/>
          <w:szCs w:val="32"/>
          <w:lang w:eastAsia="en-US"/>
        </w:rPr>
        <w:t>1</w:t>
      </w:r>
      <w:r>
        <w:rPr>
          <w:rFonts w:ascii="Times New Roman" w:hAnsi="Times New Roman" w:eastAsia="FangSong_GB2312" w:cs="FangSong_GB2312"/>
          <w:b/>
          <w:bCs/>
          <w:kern w:val="0"/>
          <w:sz w:val="32"/>
          <w:szCs w:val="32"/>
          <w:lang w:eastAsia="en-US"/>
        </w:rPr>
        <w:t>.</w:t>
      </w:r>
      <w:r>
        <w:rPr>
          <w:rFonts w:ascii="Times New Roman" w:hAnsi="Times New Roman" w:eastAsia="FangSong_GB2312" w:cs="FangSong_GB2312"/>
          <w:b/>
          <w:bCs/>
          <w:kern w:val="0"/>
          <w:sz w:val="32"/>
          <w:szCs w:val="32"/>
        </w:rPr>
        <w:t>因公出国（境）费支出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万元，全年出国（境）团组</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个，累计</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人次。与上年决算相比，增加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我单位为公益二类事业单位，“三公”经费202</w:t>
      </w:r>
      <w:r>
        <w:rPr>
          <w:rFonts w:hint="eastAsia" w:ascii="Times New Roman" w:hAnsi="Times New Roman" w:eastAsia="FangSong_GB2312" w:cs="FangSong_GB2312"/>
          <w:kern w:val="0"/>
          <w:sz w:val="32"/>
          <w:szCs w:val="32"/>
          <w:lang w:val="en-US" w:eastAsia="zh-CN"/>
        </w:rPr>
        <w:t>5</w:t>
      </w:r>
      <w:r>
        <w:rPr>
          <w:rFonts w:hint="eastAsia" w:ascii="Times New Roman" w:hAnsi="Times New Roman" w:eastAsia="FangSong_GB2312" w:cs="FangSong_GB2312"/>
          <w:kern w:val="0"/>
          <w:sz w:val="32"/>
          <w:szCs w:val="32"/>
          <w:lang w:eastAsia="en-US"/>
        </w:rPr>
        <w:t>年未通过财政拨款资金解决，故财政拨款“三公”经费各项为0</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b/>
          <w:bCs/>
          <w:kern w:val="0"/>
          <w:sz w:val="32"/>
          <w:szCs w:val="32"/>
          <w:lang w:eastAsia="en-US"/>
        </w:rPr>
        <w:t>2</w:t>
      </w:r>
      <w:r>
        <w:rPr>
          <w:rFonts w:ascii="Times New Roman" w:hAnsi="Times New Roman" w:eastAsia="FangSong_GB2312" w:cs="FangSong_GB2312"/>
          <w:b/>
          <w:bCs/>
          <w:kern w:val="0"/>
          <w:sz w:val="32"/>
          <w:szCs w:val="32"/>
          <w:lang w:eastAsia="en-US"/>
        </w:rPr>
        <w:t>.</w:t>
      </w:r>
      <w:r>
        <w:rPr>
          <w:rFonts w:ascii="Times New Roman" w:hAnsi="Times New Roman" w:eastAsia="FangSong_GB2312" w:cs="FangSong_GB2312"/>
          <w:b/>
          <w:bCs/>
          <w:kern w:val="0"/>
          <w:sz w:val="32"/>
          <w:szCs w:val="32"/>
        </w:rPr>
        <w:t>公务用车购置及运行维护费支出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万元。其中：</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w:t>
      </w:r>
      <w:r>
        <w:rPr>
          <w:rFonts w:ascii="Times New Roman" w:hAnsi="Times New Roman" w:eastAsia="Times New Roman"/>
          <w:b/>
          <w:bCs/>
          <w:kern w:val="0"/>
          <w:sz w:val="32"/>
          <w:szCs w:val="32"/>
          <w:lang w:eastAsia="en-US"/>
        </w:rPr>
        <w:t>1</w:t>
      </w:r>
      <w:r>
        <w:rPr>
          <w:rFonts w:ascii="Times New Roman" w:hAnsi="Times New Roman" w:eastAsia="FangSong_GB2312" w:cs="FangSong_GB2312"/>
          <w:b/>
          <w:bCs/>
          <w:kern w:val="0"/>
          <w:sz w:val="32"/>
          <w:szCs w:val="32"/>
        </w:rPr>
        <w:t>）公务用车购置支出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万元。本年度使用财政拨款购置公务用车</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w:t>
      </w:r>
      <w:r>
        <w:rPr>
          <w:rFonts w:hint="eastAsia" w:ascii="Times New Roman" w:hAnsi="Times New Roman" w:eastAsia="FangSong_GB2312" w:cs="FangSong_GB2312"/>
          <w:kern w:val="0"/>
          <w:sz w:val="32"/>
          <w:szCs w:val="32"/>
          <w:lang w:val="en-US" w:eastAsia="zh-CN"/>
        </w:rPr>
        <w:t>无</w:t>
      </w:r>
      <w:r>
        <w:rPr>
          <w:rFonts w:ascii="Times New Roman" w:hAnsi="Times New Roman" w:eastAsia="FangSong_GB2312" w:cs="FangSong_GB2312"/>
          <w:kern w:val="0"/>
          <w:sz w:val="32"/>
          <w:szCs w:val="32"/>
        </w:rPr>
        <w:t>开支内容。与上年决算相比，增加</w:t>
      </w:r>
      <w:r>
        <w:rPr>
          <w:rFonts w:ascii="Times New Roman" w:hAnsi="Times New Roman" w:eastAsia="Times New Roman"/>
          <w:kern w:val="0"/>
          <w:sz w:val="32"/>
          <w:szCs w:val="32"/>
          <w:u w:val="single"/>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我单位为公益二类事业单位，“三公”经费2025年未通过财政拨款资金解决，故财政拨款“三公”经费各项为0</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w:t>
      </w:r>
      <w:r>
        <w:rPr>
          <w:rFonts w:ascii="Times New Roman" w:hAnsi="Times New Roman" w:eastAsia="Times New Roman"/>
          <w:b/>
          <w:bCs/>
          <w:kern w:val="0"/>
          <w:sz w:val="32"/>
          <w:szCs w:val="32"/>
          <w:lang w:eastAsia="en-US"/>
        </w:rPr>
        <w:t>2</w:t>
      </w:r>
      <w:r>
        <w:rPr>
          <w:rFonts w:ascii="Times New Roman" w:hAnsi="Times New Roman" w:eastAsia="FangSong_GB2312" w:cs="FangSong_GB2312"/>
          <w:b/>
          <w:bCs/>
          <w:kern w:val="0"/>
          <w:sz w:val="32"/>
          <w:szCs w:val="32"/>
        </w:rPr>
        <w:t>）公务用车运行维护费支出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万元。公务用车运行维护费主要用于按规定保留的公务用车的燃料费、</w:t>
      </w:r>
      <w:r>
        <w:rPr>
          <w:rFonts w:ascii="Times New Roman" w:hAnsi="Times New Roman" w:eastAsia="FangSong_GB2312" w:cs="FangSong_GB2312"/>
          <w:color w:val="000000"/>
          <w:kern w:val="0"/>
          <w:sz w:val="32"/>
          <w:szCs w:val="32"/>
        </w:rPr>
        <w:t>新能源汽车充电费、</w:t>
      </w:r>
      <w:r>
        <w:rPr>
          <w:rFonts w:ascii="Times New Roman" w:hAnsi="Times New Roman" w:eastAsia="FangSong_GB2312" w:cs="FangSong_GB2312"/>
          <w:kern w:val="0"/>
          <w:sz w:val="32"/>
          <w:szCs w:val="32"/>
        </w:rPr>
        <w:t>维修费、过桥过路费、保险费、安全奖励费用等支出。截至</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w:t>
      </w:r>
      <w:r>
        <w:rPr>
          <w:rFonts w:ascii="Times New Roman" w:hAnsi="Times New Roman" w:eastAsia="Times New Roman"/>
          <w:kern w:val="0"/>
          <w:sz w:val="32"/>
          <w:szCs w:val="32"/>
          <w:lang w:eastAsia="en-US"/>
        </w:rPr>
        <w:t>12</w:t>
      </w:r>
      <w:r>
        <w:rPr>
          <w:rFonts w:ascii="Times New Roman" w:hAnsi="Times New Roman" w:eastAsia="FangSong_GB2312" w:cs="FangSong_GB2312"/>
          <w:kern w:val="0"/>
          <w:sz w:val="32"/>
          <w:szCs w:val="32"/>
        </w:rPr>
        <w:t>月</w:t>
      </w:r>
      <w:r>
        <w:rPr>
          <w:rFonts w:ascii="Times New Roman" w:hAnsi="Times New Roman" w:eastAsia="Times New Roman"/>
          <w:kern w:val="0"/>
          <w:sz w:val="32"/>
          <w:szCs w:val="32"/>
          <w:lang w:eastAsia="en-US"/>
        </w:rPr>
        <w:t>31</w:t>
      </w:r>
      <w:r>
        <w:rPr>
          <w:rFonts w:ascii="Times New Roman" w:hAnsi="Times New Roman" w:eastAsia="FangSong_GB2312" w:cs="FangSong_GB2312"/>
          <w:kern w:val="0"/>
          <w:sz w:val="32"/>
          <w:szCs w:val="32"/>
        </w:rPr>
        <w:t>日，使用财政拨款开支的公务用车保有量为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辆。与上年决算相比，增加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我单位为公益二类事业单位，“三公”经费2025年未通过财政拨款资金解决，故财政拨款“三公”经费各项为0</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Times New Roman"/>
          <w:b/>
          <w:bCs/>
          <w:kern w:val="0"/>
          <w:sz w:val="32"/>
          <w:szCs w:val="32"/>
          <w:lang w:eastAsia="en-US"/>
        </w:rPr>
        <w:t>3</w:t>
      </w:r>
      <w:r>
        <w:rPr>
          <w:rFonts w:ascii="Times New Roman" w:hAnsi="Times New Roman" w:eastAsia="FangSong_GB2312" w:cs="FangSong_GB2312"/>
          <w:b/>
          <w:bCs/>
          <w:kern w:val="0"/>
          <w:sz w:val="32"/>
          <w:szCs w:val="32"/>
          <w:lang w:eastAsia="en-US"/>
        </w:rPr>
        <w:t>.</w:t>
      </w:r>
      <w:r>
        <w:rPr>
          <w:rFonts w:ascii="Times New Roman" w:hAnsi="Times New Roman" w:eastAsia="FangSong_GB2312" w:cs="FangSong_GB2312"/>
          <w:b/>
          <w:bCs/>
          <w:kern w:val="0"/>
          <w:sz w:val="32"/>
          <w:szCs w:val="32"/>
        </w:rPr>
        <w:t>公务接待费支出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万元。其中：国内公务接待支出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万元，接待</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批次，</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人次，</w:t>
      </w:r>
      <w:r>
        <w:rPr>
          <w:rFonts w:hint="eastAsia" w:ascii="Times New Roman" w:hAnsi="Times New Roman" w:eastAsia="FangSong_GB2312" w:cs="FangSong_GB2312"/>
          <w:kern w:val="0"/>
          <w:sz w:val="32"/>
          <w:szCs w:val="32"/>
          <w:lang w:val="en-US" w:eastAsia="zh-CN"/>
        </w:rPr>
        <w:t>无</w:t>
      </w:r>
      <w:r>
        <w:rPr>
          <w:rFonts w:ascii="Times New Roman" w:hAnsi="Times New Roman" w:eastAsia="FangSong_GB2312" w:cs="FangSong_GB2312"/>
          <w:kern w:val="0"/>
          <w:sz w:val="32"/>
          <w:szCs w:val="32"/>
        </w:rPr>
        <w:t>开支内容；国（境）外公务接待支出</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万元，接待</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批次，</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人次，</w:t>
      </w:r>
      <w:r>
        <w:rPr>
          <w:rFonts w:hint="eastAsia" w:ascii="Times New Roman" w:hAnsi="Times New Roman" w:eastAsia="FangSong_GB2312" w:cs="FangSong_GB2312"/>
          <w:kern w:val="0"/>
          <w:sz w:val="32"/>
          <w:szCs w:val="32"/>
          <w:lang w:val="en-US" w:eastAsia="zh-CN"/>
        </w:rPr>
        <w:t>无</w:t>
      </w:r>
      <w:r>
        <w:rPr>
          <w:rFonts w:ascii="Times New Roman" w:hAnsi="Times New Roman" w:eastAsia="FangSong_GB2312" w:cs="FangSong_GB2312"/>
          <w:kern w:val="0"/>
          <w:sz w:val="32"/>
          <w:szCs w:val="32"/>
        </w:rPr>
        <w:t>开支内容。与上年决算相比，增加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我单位为公益二类事业单位，“三公”经费2025年未通过财政拨款资金解决，故财政拨款“三公”经费各项为0</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九、政府性基金预算财政拨款支出决算情况说明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年度政府性基金预算财政拨款支出决算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万元。与上年决算相比，增加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zh-CN"/>
        </w:rPr>
        <w:t>：</w:t>
      </w:r>
      <w:r>
        <w:rPr>
          <w:rFonts w:hint="eastAsia" w:ascii="Times New Roman" w:hAnsi="Times New Roman" w:eastAsia="FangSong_GB2312" w:cs="FangSong_GB2312"/>
          <w:kern w:val="0"/>
          <w:sz w:val="32"/>
          <w:szCs w:val="32"/>
        </w:rPr>
        <w:t>本部门无政府性基金预算财政拨款收、支、余</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十、国有资本经营预算财政拨款支出决算情况说明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年度国有资本经营预算财政拨款支出决算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万元。与上年决算相比，增加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本部门无国有资本经营预算财政拨款收、支、余</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十一、机关运行经费（公用经费）支出决算情况说明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年度公用经费支出决算</w:t>
      </w:r>
      <w:r>
        <w:rPr>
          <w:rFonts w:ascii="Times New Roman" w:hAnsi="Times New Roman" w:eastAsia="Times New Roman"/>
          <w:kern w:val="0"/>
          <w:sz w:val="32"/>
          <w:szCs w:val="32"/>
          <w:u w:val="single"/>
          <w:lang w:eastAsia="en-US"/>
        </w:rPr>
        <w:t>2.32</w:t>
      </w:r>
      <w:r>
        <w:rPr>
          <w:rFonts w:ascii="Times New Roman" w:hAnsi="Times New Roman" w:eastAsia="FangSong_GB2312" w:cs="FangSong_GB2312"/>
          <w:kern w:val="0"/>
          <w:sz w:val="32"/>
          <w:szCs w:val="32"/>
        </w:rPr>
        <w:t>万元，与上年决算相比，减少</w:t>
      </w:r>
      <w:r>
        <w:rPr>
          <w:rFonts w:ascii="Times New Roman" w:hAnsi="Times New Roman" w:eastAsia="Times New Roman"/>
          <w:kern w:val="0"/>
          <w:sz w:val="32"/>
          <w:szCs w:val="32"/>
          <w:u w:val="single"/>
          <w:lang w:eastAsia="en-US"/>
        </w:rPr>
        <w:t>2.32</w:t>
      </w:r>
      <w:r>
        <w:rPr>
          <w:rFonts w:ascii="Times New Roman" w:hAnsi="Times New Roman" w:eastAsia="FangSong_GB2312" w:cs="FangSong_GB2312"/>
          <w:kern w:val="0"/>
          <w:sz w:val="32"/>
          <w:szCs w:val="32"/>
        </w:rPr>
        <w:t>万元，下降</w:t>
      </w:r>
      <w:r>
        <w:rPr>
          <w:rFonts w:ascii="Times New Roman" w:hAnsi="Times New Roman" w:eastAsia="Times New Roman"/>
          <w:kern w:val="0"/>
          <w:sz w:val="32"/>
          <w:szCs w:val="32"/>
          <w:u w:val="single"/>
          <w:lang w:eastAsia="en-US"/>
        </w:rPr>
        <w:t>50.00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自治区财政</w:t>
      </w:r>
      <w:r>
        <w:rPr>
          <w:rFonts w:hint="eastAsia" w:ascii="Times New Roman" w:hAnsi="Times New Roman" w:eastAsia="FangSong_GB2312" w:cs="FangSong_GB2312"/>
          <w:kern w:val="0"/>
          <w:sz w:val="32"/>
          <w:szCs w:val="32"/>
          <w:lang w:val="en-US" w:eastAsia="zh-CN"/>
        </w:rPr>
        <w:t>减少</w:t>
      </w:r>
      <w:r>
        <w:rPr>
          <w:rFonts w:hint="eastAsia" w:ascii="Times New Roman" w:hAnsi="Times New Roman" w:eastAsia="FangSong_GB2312" w:cs="FangSong_GB2312"/>
          <w:kern w:val="0"/>
          <w:sz w:val="32"/>
          <w:szCs w:val="32"/>
          <w:lang w:eastAsia="en-US"/>
        </w:rPr>
        <w:t>了对我社退休老干部公用经费的补贴</w:t>
      </w:r>
      <w:r>
        <w:rPr>
          <w:rFonts w:ascii="Times New Roman" w:hAnsi="Times New Roman" w:eastAsia="FangSong_GB2312" w:cs="FangSong_GB2312"/>
          <w:kern w:val="0"/>
          <w:sz w:val="32"/>
          <w:szCs w:val="32"/>
        </w:rPr>
        <w:t>。其中，机关运行经费支出决算</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万元。比上年决算相比，增加</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万元，增长</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lang w:eastAsia="en-US"/>
        </w:rPr>
        <w:t>%</w:t>
      </w:r>
      <w:r>
        <w:rPr>
          <w:rFonts w:ascii="Times New Roman" w:hAnsi="Times New Roman" w:eastAsia="FangSong_GB2312" w:cs="FangSong_GB2312"/>
          <w:kern w:val="0"/>
          <w:sz w:val="32"/>
          <w:szCs w:val="32"/>
        </w:rPr>
        <w:t>，变动原因：</w:t>
      </w:r>
      <w:r>
        <w:rPr>
          <w:rFonts w:hint="eastAsia" w:ascii="Times New Roman" w:hAnsi="Times New Roman" w:eastAsia="FangSong_GB2312" w:cs="FangSong_GB2312"/>
          <w:kern w:val="0"/>
          <w:sz w:val="32"/>
          <w:szCs w:val="32"/>
          <w:lang w:eastAsia="en-US"/>
        </w:rPr>
        <w:t>我单位类型为</w:t>
      </w:r>
      <w:r>
        <w:rPr>
          <w:rFonts w:hint="eastAsia" w:ascii="Times New Roman" w:hAnsi="Times New Roman" w:eastAsia="FangSong_GB2312" w:cs="FangSong_GB2312"/>
          <w:kern w:val="0"/>
          <w:sz w:val="32"/>
          <w:szCs w:val="32"/>
          <w:lang w:val="en-US" w:eastAsia="zh-CN"/>
        </w:rPr>
        <w:t>公益二</w:t>
      </w:r>
      <w:r>
        <w:rPr>
          <w:rFonts w:hint="eastAsia" w:ascii="Times New Roman" w:hAnsi="Times New Roman" w:eastAsia="FangSong_GB2312" w:cs="FangSong_GB2312"/>
          <w:kern w:val="0"/>
          <w:sz w:val="32"/>
          <w:szCs w:val="32"/>
          <w:lang w:eastAsia="en-US"/>
        </w:rPr>
        <w:t>类</w:t>
      </w:r>
      <w:r>
        <w:rPr>
          <w:rFonts w:hint="eastAsia" w:ascii="Times New Roman" w:hAnsi="Times New Roman" w:eastAsia="FangSong_GB2312" w:cs="FangSong_GB2312"/>
          <w:kern w:val="0"/>
          <w:sz w:val="32"/>
          <w:szCs w:val="32"/>
          <w:lang w:val="en-US" w:eastAsia="zh-CN"/>
        </w:rPr>
        <w:t>事业</w:t>
      </w:r>
      <w:r>
        <w:rPr>
          <w:rFonts w:hint="eastAsia" w:ascii="Times New Roman" w:hAnsi="Times New Roman" w:eastAsia="FangSong_GB2312" w:cs="FangSong_GB2312"/>
          <w:kern w:val="0"/>
          <w:sz w:val="32"/>
          <w:szCs w:val="32"/>
          <w:lang w:eastAsia="en-US"/>
        </w:rPr>
        <w:t>单位，无机关运行经费支出</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十二、政府采购支出决算情况说明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highlight w:val="none"/>
        </w:rPr>
      </w:pPr>
      <w:r>
        <w:rPr>
          <w:rFonts w:ascii="Times New Roman" w:hAnsi="Times New Roman" w:eastAsia="FangSong_GB2312" w:cs="FangSong_GB2312"/>
          <w:kern w:val="0"/>
          <w:sz w:val="32"/>
          <w:szCs w:val="32"/>
          <w:highlight w:val="none"/>
        </w:rPr>
        <w:t>实践杂志社</w:t>
      </w:r>
      <w:r>
        <w:rPr>
          <w:rFonts w:ascii="Times New Roman" w:hAnsi="Times New Roman" w:eastAsia="Times New Roman"/>
          <w:kern w:val="0"/>
          <w:sz w:val="32"/>
          <w:szCs w:val="32"/>
          <w:highlight w:val="none"/>
          <w:lang w:eastAsia="en-US"/>
        </w:rPr>
        <w:t>2025</w:t>
      </w:r>
      <w:r>
        <w:rPr>
          <w:rFonts w:ascii="Times New Roman" w:hAnsi="Times New Roman" w:eastAsia="FangSong_GB2312" w:cs="FangSong_GB2312"/>
          <w:kern w:val="0"/>
          <w:sz w:val="32"/>
          <w:szCs w:val="32"/>
          <w:highlight w:val="none"/>
        </w:rPr>
        <w:t>年度政府采购支出总额</w:t>
      </w:r>
      <w:r>
        <w:rPr>
          <w:rFonts w:ascii="Times New Roman" w:hAnsi="Times New Roman" w:eastAsia="Times New Roman"/>
          <w:kern w:val="0"/>
          <w:sz w:val="32"/>
          <w:szCs w:val="32"/>
          <w:highlight w:val="none"/>
          <w:u w:val="single"/>
          <w:lang w:eastAsia="en-US"/>
        </w:rPr>
        <w:t>830.89</w:t>
      </w:r>
      <w:r>
        <w:rPr>
          <w:rFonts w:ascii="Times New Roman" w:hAnsi="Times New Roman" w:eastAsia="FangSong_GB2312" w:cs="FangSong_GB2312"/>
          <w:kern w:val="0"/>
          <w:sz w:val="32"/>
          <w:szCs w:val="32"/>
          <w:highlight w:val="none"/>
        </w:rPr>
        <w:t>万元，其中：政府采购货物支出</w:t>
      </w:r>
      <w:r>
        <w:rPr>
          <w:rFonts w:ascii="Times New Roman" w:hAnsi="Times New Roman" w:eastAsia="Times New Roman"/>
          <w:kern w:val="0"/>
          <w:sz w:val="32"/>
          <w:szCs w:val="32"/>
          <w:highlight w:val="none"/>
          <w:u w:val="single"/>
          <w:lang w:eastAsia="en-US"/>
        </w:rPr>
        <w:t>2.34</w:t>
      </w:r>
      <w:r>
        <w:rPr>
          <w:rFonts w:ascii="Times New Roman" w:hAnsi="Times New Roman" w:eastAsia="FangSong_GB2312" w:cs="FangSong_GB2312"/>
          <w:kern w:val="0"/>
          <w:sz w:val="32"/>
          <w:szCs w:val="32"/>
          <w:highlight w:val="none"/>
        </w:rPr>
        <w:t>万元、政府采购工程支出</w:t>
      </w:r>
      <w:r>
        <w:rPr>
          <w:rFonts w:ascii="Times New Roman" w:hAnsi="Times New Roman" w:eastAsia="Times New Roman"/>
          <w:kern w:val="0"/>
          <w:sz w:val="32"/>
          <w:szCs w:val="32"/>
          <w:highlight w:val="none"/>
          <w:u w:val="single"/>
          <w:lang w:eastAsia="en-US"/>
        </w:rPr>
        <w:t>0</w:t>
      </w:r>
      <w:r>
        <w:rPr>
          <w:rFonts w:ascii="Times New Roman" w:hAnsi="Times New Roman" w:eastAsia="FangSong_GB2312" w:cs="FangSong_GB2312"/>
          <w:kern w:val="0"/>
          <w:sz w:val="32"/>
          <w:szCs w:val="32"/>
          <w:highlight w:val="none"/>
        </w:rPr>
        <w:t>万元、政府采购服务支出</w:t>
      </w:r>
      <w:r>
        <w:rPr>
          <w:rFonts w:ascii="Times New Roman" w:hAnsi="Times New Roman" w:eastAsia="Times New Roman"/>
          <w:kern w:val="0"/>
          <w:sz w:val="32"/>
          <w:szCs w:val="32"/>
          <w:highlight w:val="none"/>
          <w:u w:val="single"/>
          <w:lang w:eastAsia="en-US"/>
        </w:rPr>
        <w:t>828.55</w:t>
      </w:r>
      <w:r>
        <w:rPr>
          <w:rFonts w:ascii="Times New Roman" w:hAnsi="Times New Roman" w:eastAsia="FangSong_GB2312" w:cs="FangSong_GB2312"/>
          <w:kern w:val="0"/>
          <w:sz w:val="32"/>
          <w:szCs w:val="32"/>
          <w:highlight w:val="none"/>
        </w:rPr>
        <w:t>万元。政府采购授予中小企业合同金额</w:t>
      </w:r>
      <w:r>
        <w:rPr>
          <w:rFonts w:ascii="Times New Roman" w:hAnsi="Times New Roman" w:eastAsia="Times New Roman"/>
          <w:kern w:val="0"/>
          <w:sz w:val="32"/>
          <w:szCs w:val="32"/>
          <w:highlight w:val="none"/>
          <w:u w:val="single"/>
          <w:lang w:eastAsia="en-US"/>
        </w:rPr>
        <w:t>818.96</w:t>
      </w:r>
      <w:r>
        <w:rPr>
          <w:rFonts w:ascii="Times New Roman" w:hAnsi="Times New Roman" w:eastAsia="FangSong_GB2312" w:cs="FangSong_GB2312"/>
          <w:kern w:val="0"/>
          <w:sz w:val="32"/>
          <w:szCs w:val="32"/>
          <w:highlight w:val="none"/>
        </w:rPr>
        <w:t>万元，占政府采购支出总额的</w:t>
      </w:r>
      <w:r>
        <w:rPr>
          <w:rFonts w:hint="eastAsia" w:ascii="Times New Roman" w:hAnsi="Times New Roman" w:eastAsia="宋体"/>
          <w:kern w:val="0"/>
          <w:sz w:val="32"/>
          <w:szCs w:val="32"/>
          <w:highlight w:val="none"/>
          <w:u w:val="single"/>
          <w:lang w:val="en-US" w:eastAsia="zh-CN"/>
        </w:rPr>
        <w:t>98.56</w:t>
      </w:r>
      <w:r>
        <w:rPr>
          <w:rFonts w:ascii="Times New Roman" w:hAnsi="Times New Roman" w:eastAsia="FangSong_GB2312" w:cs="FangSong_GB2312"/>
          <w:kern w:val="0"/>
          <w:sz w:val="32"/>
          <w:szCs w:val="32"/>
          <w:highlight w:val="none"/>
          <w:lang w:eastAsia="en-US"/>
        </w:rPr>
        <w:t>%</w:t>
      </w:r>
      <w:r>
        <w:rPr>
          <w:rFonts w:ascii="Times New Roman" w:hAnsi="Times New Roman" w:eastAsia="FangSong_GB2312" w:cs="FangSong_GB2312"/>
          <w:kern w:val="0"/>
          <w:sz w:val="32"/>
          <w:szCs w:val="32"/>
          <w:highlight w:val="none"/>
        </w:rPr>
        <w:t>，其中：授予小微企业合同金额</w:t>
      </w:r>
      <w:r>
        <w:rPr>
          <w:rFonts w:hint="eastAsia" w:ascii="Times New Roman" w:hAnsi="Times New Roman" w:eastAsia="宋体"/>
          <w:kern w:val="0"/>
          <w:sz w:val="32"/>
          <w:szCs w:val="32"/>
          <w:highlight w:val="none"/>
          <w:u w:val="single"/>
          <w:lang w:val="en-US" w:eastAsia="zh-CN"/>
        </w:rPr>
        <w:t>406.74</w:t>
      </w:r>
      <w:r>
        <w:rPr>
          <w:rFonts w:ascii="Times New Roman" w:hAnsi="Times New Roman" w:eastAsia="FangSong_GB2312" w:cs="FangSong_GB2312"/>
          <w:kern w:val="0"/>
          <w:sz w:val="32"/>
          <w:szCs w:val="32"/>
          <w:highlight w:val="none"/>
        </w:rPr>
        <w:t>万元，占政府采购支出总额的</w:t>
      </w:r>
      <w:r>
        <w:rPr>
          <w:rFonts w:hint="eastAsia" w:ascii="Times New Roman" w:hAnsi="Times New Roman" w:eastAsia="宋体"/>
          <w:kern w:val="0"/>
          <w:sz w:val="32"/>
          <w:szCs w:val="32"/>
          <w:highlight w:val="none"/>
          <w:u w:val="single"/>
          <w:lang w:val="en-US" w:eastAsia="zh-CN"/>
        </w:rPr>
        <w:t>48.95</w:t>
      </w:r>
      <w:r>
        <w:rPr>
          <w:rFonts w:ascii="Times New Roman" w:hAnsi="Times New Roman" w:eastAsia="FangSong_GB2312" w:cs="FangSong_GB2312"/>
          <w:kern w:val="0"/>
          <w:sz w:val="32"/>
          <w:szCs w:val="32"/>
          <w:highlight w:val="none"/>
          <w:lang w:eastAsia="en-US"/>
        </w:rPr>
        <w:t>%</w:t>
      </w:r>
      <w:r>
        <w:rPr>
          <w:rFonts w:ascii="Times New Roman" w:hAnsi="Times New Roman" w:eastAsia="FangSong_GB2312" w:cs="FangSong_GB2312"/>
          <w:kern w:val="0"/>
          <w:sz w:val="32"/>
          <w:szCs w:val="32"/>
          <w:highlight w:val="none"/>
        </w:rPr>
        <w:t>；货物采购授予中小企业合同金额占货物支出金额的</w:t>
      </w:r>
      <w:r>
        <w:rPr>
          <w:rFonts w:hint="eastAsia" w:ascii="Times New Roman" w:hAnsi="Times New Roman" w:eastAsia="宋体"/>
          <w:kern w:val="0"/>
          <w:sz w:val="32"/>
          <w:szCs w:val="32"/>
          <w:highlight w:val="none"/>
          <w:u w:val="single"/>
          <w:lang w:val="en-US" w:eastAsia="zh-CN"/>
        </w:rPr>
        <w:t>100.00</w:t>
      </w:r>
      <w:r>
        <w:rPr>
          <w:rFonts w:ascii="Times New Roman" w:hAnsi="Times New Roman" w:eastAsia="FangSong_GB2312" w:cs="FangSong_GB2312"/>
          <w:kern w:val="0"/>
          <w:sz w:val="32"/>
          <w:szCs w:val="32"/>
          <w:highlight w:val="none"/>
          <w:lang w:eastAsia="en-US"/>
        </w:rPr>
        <w:t>%</w:t>
      </w:r>
      <w:r>
        <w:rPr>
          <w:rFonts w:ascii="Times New Roman" w:hAnsi="Times New Roman" w:eastAsia="FangSong_GB2312" w:cs="FangSong_GB2312"/>
          <w:kern w:val="0"/>
          <w:sz w:val="32"/>
          <w:szCs w:val="32"/>
          <w:highlight w:val="none"/>
        </w:rPr>
        <w:t>，工程采购授予中小企业合同金额占工程支出金额的</w:t>
      </w:r>
      <w:r>
        <w:rPr>
          <w:rFonts w:hint="eastAsia" w:ascii="Times New Roman" w:hAnsi="Times New Roman" w:eastAsia="宋体"/>
          <w:kern w:val="0"/>
          <w:sz w:val="32"/>
          <w:szCs w:val="32"/>
          <w:highlight w:val="none"/>
          <w:u w:val="single"/>
          <w:lang w:val="en-US" w:eastAsia="zh-CN"/>
        </w:rPr>
        <w:t>0</w:t>
      </w:r>
      <w:r>
        <w:rPr>
          <w:rFonts w:ascii="Times New Roman" w:hAnsi="Times New Roman" w:eastAsia="FangSong_GB2312" w:cs="FangSong_GB2312"/>
          <w:kern w:val="0"/>
          <w:sz w:val="32"/>
          <w:szCs w:val="32"/>
          <w:highlight w:val="none"/>
          <w:lang w:eastAsia="en-US"/>
        </w:rPr>
        <w:t>%</w:t>
      </w:r>
      <w:r>
        <w:rPr>
          <w:rFonts w:ascii="Times New Roman" w:hAnsi="Times New Roman" w:eastAsia="FangSong_GB2312" w:cs="FangSong_GB2312"/>
          <w:kern w:val="0"/>
          <w:sz w:val="32"/>
          <w:szCs w:val="32"/>
          <w:highlight w:val="none"/>
        </w:rPr>
        <w:t>，服务采购授予中小企业合同金额占服务支出金额的</w:t>
      </w:r>
      <w:r>
        <w:rPr>
          <w:rFonts w:hint="eastAsia" w:ascii="Times New Roman" w:hAnsi="Times New Roman" w:eastAsia="宋体"/>
          <w:kern w:val="0"/>
          <w:sz w:val="32"/>
          <w:szCs w:val="32"/>
          <w:highlight w:val="none"/>
          <w:u w:val="single"/>
          <w:lang w:val="en-US" w:eastAsia="zh-CN"/>
        </w:rPr>
        <w:t>98.56</w:t>
      </w:r>
      <w:r>
        <w:rPr>
          <w:rFonts w:ascii="Times New Roman" w:hAnsi="Times New Roman" w:eastAsia="FangSong_GB2312" w:cs="FangSong_GB2312"/>
          <w:kern w:val="0"/>
          <w:sz w:val="32"/>
          <w:szCs w:val="32"/>
          <w:highlight w:val="none"/>
          <w:lang w:eastAsia="en-US"/>
        </w:rPr>
        <w:t>%</w:t>
      </w:r>
      <w:r>
        <w:rPr>
          <w:rFonts w:ascii="Times New Roman" w:hAnsi="Times New Roman" w:eastAsia="FangSong_GB2312" w:cs="FangSong_GB2312"/>
          <w:kern w:val="0"/>
          <w:sz w:val="32"/>
          <w:szCs w:val="32"/>
          <w:highlight w:val="none"/>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b/>
          <w:bCs/>
          <w:kern w:val="0"/>
          <w:sz w:val="24"/>
        </w:rPr>
      </w:pPr>
      <w:r>
        <w:rPr>
          <w:rFonts w:ascii="Times New Roman" w:hAnsi="Times New Roman" w:eastAsia="黑体" w:cs="黑体"/>
          <w:b/>
          <w:bCs/>
          <w:kern w:val="0"/>
          <w:sz w:val="32"/>
          <w:szCs w:val="32"/>
        </w:rPr>
        <w:t>十三、国有资产占用情况说明</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实践杂志社截至</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w:t>
      </w:r>
      <w:r>
        <w:rPr>
          <w:rFonts w:ascii="Times New Roman" w:hAnsi="Times New Roman" w:eastAsia="Times New Roman"/>
          <w:kern w:val="0"/>
          <w:sz w:val="32"/>
          <w:szCs w:val="32"/>
          <w:lang w:eastAsia="en-US"/>
        </w:rPr>
        <w:t>12</w:t>
      </w:r>
      <w:r>
        <w:rPr>
          <w:rFonts w:ascii="Times New Roman" w:hAnsi="Times New Roman" w:eastAsia="FangSong_GB2312" w:cs="FangSong_GB2312"/>
          <w:kern w:val="0"/>
          <w:sz w:val="32"/>
          <w:szCs w:val="32"/>
        </w:rPr>
        <w:t>月</w:t>
      </w:r>
      <w:r>
        <w:rPr>
          <w:rFonts w:ascii="Times New Roman" w:hAnsi="Times New Roman" w:eastAsia="Times New Roman"/>
          <w:kern w:val="0"/>
          <w:sz w:val="32"/>
          <w:szCs w:val="32"/>
          <w:lang w:eastAsia="en-US"/>
        </w:rPr>
        <w:t>31</w:t>
      </w:r>
      <w:r>
        <w:rPr>
          <w:rFonts w:ascii="Times New Roman" w:hAnsi="Times New Roman" w:eastAsia="FangSong_GB2312" w:cs="FangSong_GB2312"/>
          <w:kern w:val="0"/>
          <w:sz w:val="32"/>
          <w:szCs w:val="32"/>
        </w:rPr>
        <w:t>日，本部门共有车辆</w:t>
      </w:r>
      <w:r>
        <w:rPr>
          <w:rFonts w:ascii="Times New Roman" w:hAnsi="Times New Roman" w:eastAsia="Times New Roman"/>
          <w:kern w:val="0"/>
          <w:sz w:val="32"/>
          <w:szCs w:val="32"/>
          <w:u w:val="single"/>
          <w:lang w:eastAsia="en-US"/>
        </w:rPr>
        <w:t>6</w:t>
      </w:r>
      <w:r>
        <w:rPr>
          <w:rFonts w:ascii="Times New Roman" w:hAnsi="Times New Roman" w:eastAsia="FangSong_GB2312" w:cs="FangSong_GB2312"/>
          <w:kern w:val="0"/>
          <w:sz w:val="32"/>
          <w:szCs w:val="32"/>
        </w:rPr>
        <w:t>辆，其中：副部（省）级及以上领导用车</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辆、主要负责人用车</w:t>
      </w:r>
      <w:r>
        <w:rPr>
          <w:rFonts w:ascii="Times New Roman" w:hAnsi="Times New Roman" w:eastAsia="Times New Roman"/>
          <w:kern w:val="0"/>
          <w:sz w:val="32"/>
          <w:szCs w:val="32"/>
          <w:u w:val="single"/>
          <w:lang w:eastAsia="en-US"/>
        </w:rPr>
        <w:t>2</w:t>
      </w:r>
      <w:r>
        <w:rPr>
          <w:rFonts w:ascii="Times New Roman" w:hAnsi="Times New Roman" w:eastAsia="FangSong_GB2312" w:cs="FangSong_GB2312"/>
          <w:kern w:val="0"/>
          <w:sz w:val="32"/>
          <w:szCs w:val="32"/>
        </w:rPr>
        <w:t>辆、机要通信用车</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辆、应急保障用车</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辆、执法执勤用车</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辆、特种专业技术用车</w:t>
      </w:r>
      <w:r>
        <w:rPr>
          <w:rFonts w:ascii="Times New Roman" w:hAnsi="Times New Roman" w:eastAsia="Times New Roman"/>
          <w:kern w:val="0"/>
          <w:sz w:val="32"/>
          <w:szCs w:val="32"/>
          <w:u w:val="single"/>
          <w:lang w:eastAsia="en-US"/>
        </w:rPr>
        <w:t>0</w:t>
      </w:r>
      <w:r>
        <w:rPr>
          <w:rFonts w:ascii="Times New Roman" w:hAnsi="Times New Roman" w:eastAsia="FangSong_GB2312" w:cs="FangSong_GB2312"/>
          <w:kern w:val="0"/>
          <w:sz w:val="32"/>
          <w:szCs w:val="32"/>
        </w:rPr>
        <w:t>辆、离退休干部服务用车</w:t>
      </w:r>
      <w:r>
        <w:rPr>
          <w:rFonts w:ascii="Times New Roman" w:hAnsi="Times New Roman" w:eastAsia="Times New Roman"/>
          <w:kern w:val="0"/>
          <w:sz w:val="32"/>
          <w:szCs w:val="32"/>
          <w:u w:val="single"/>
          <w:lang w:eastAsia="en-US"/>
        </w:rPr>
        <w:t>1</w:t>
      </w:r>
      <w:r>
        <w:rPr>
          <w:rFonts w:ascii="Times New Roman" w:hAnsi="Times New Roman" w:eastAsia="FangSong_GB2312" w:cs="FangSong_GB2312"/>
          <w:kern w:val="0"/>
          <w:sz w:val="32"/>
          <w:szCs w:val="32"/>
        </w:rPr>
        <w:t>辆、其他用车</w:t>
      </w:r>
      <w:r>
        <w:rPr>
          <w:rFonts w:ascii="Times New Roman" w:hAnsi="Times New Roman" w:eastAsia="Times New Roman"/>
          <w:kern w:val="0"/>
          <w:sz w:val="32"/>
          <w:szCs w:val="32"/>
          <w:u w:val="single"/>
          <w:lang w:eastAsia="en-US"/>
        </w:rPr>
        <w:t>3</w:t>
      </w:r>
      <w:r>
        <w:rPr>
          <w:rFonts w:ascii="Times New Roman" w:hAnsi="Times New Roman" w:eastAsia="FangSong_GB2312" w:cs="FangSong_GB2312"/>
          <w:kern w:val="0"/>
          <w:sz w:val="32"/>
          <w:szCs w:val="32"/>
        </w:rPr>
        <w:t>辆，；单价</w:t>
      </w:r>
      <w:r>
        <w:rPr>
          <w:rFonts w:ascii="Times New Roman" w:hAnsi="Times New Roman" w:eastAsia="Times New Roman"/>
          <w:kern w:val="0"/>
          <w:sz w:val="32"/>
          <w:szCs w:val="32"/>
          <w:lang w:eastAsia="en-US"/>
        </w:rPr>
        <w:t>100</w:t>
      </w:r>
      <w:r>
        <w:rPr>
          <w:rFonts w:ascii="Times New Roman" w:hAnsi="Times New Roman" w:eastAsia="FangSong_GB2312" w:cs="FangSong_GB2312"/>
          <w:kern w:val="0"/>
          <w:sz w:val="32"/>
          <w:szCs w:val="32"/>
        </w:rPr>
        <w:t>万元（含）以上设备（不含车辆）</w:t>
      </w:r>
      <w:r>
        <w:rPr>
          <w:rFonts w:ascii="Times New Roman" w:hAnsi="Times New Roman" w:eastAsia="Times New Roman"/>
          <w:kern w:val="0"/>
          <w:sz w:val="32"/>
          <w:szCs w:val="32"/>
          <w:u w:val="single"/>
          <w:lang w:eastAsia="en-US"/>
        </w:rPr>
        <w:t>1</w:t>
      </w:r>
      <w:r>
        <w:rPr>
          <w:rFonts w:ascii="Times New Roman" w:hAnsi="Times New Roman" w:eastAsia="FangSong_GB2312" w:cs="FangSong_GB2312"/>
          <w:kern w:val="0"/>
          <w:sz w:val="32"/>
          <w:szCs w:val="32"/>
        </w:rPr>
        <w:t>台（套）。</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黑体" w:cs="黑体"/>
          <w:b/>
          <w:bCs/>
          <w:kern w:val="0"/>
          <w:sz w:val="32"/>
          <w:szCs w:val="32"/>
        </w:rPr>
        <w:t>十四、预算绩效情况说明</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（一）预算绩效管理工作开展情况。</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Times New Roman"/>
          <w:kern w:val="0"/>
          <w:sz w:val="24"/>
          <w:lang w:eastAsia="zh-CN"/>
        </w:rPr>
      </w:pPr>
      <w:r>
        <w:rPr>
          <w:rFonts w:ascii="Times New Roman" w:hAnsi="Times New Roman" w:eastAsia="FangSong_GB2312" w:cs="FangSong_GB2312"/>
          <w:kern w:val="0"/>
          <w:sz w:val="32"/>
          <w:szCs w:val="32"/>
        </w:rPr>
        <w:t>实践杂志社根据预算绩效管理要求组织对</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年一般公共预算项目支出全面开展绩效自评，共涉及项目</w:t>
      </w:r>
      <w:r>
        <w:rPr>
          <w:rFonts w:hint="eastAsia" w:ascii="Times New Roman" w:hAnsi="Times New Roman" w:eastAsia="宋体"/>
          <w:kern w:val="0"/>
          <w:sz w:val="32"/>
          <w:szCs w:val="32"/>
          <w:u w:val="single"/>
          <w:lang w:val="en-US" w:eastAsia="zh-CN"/>
        </w:rPr>
        <w:t>10</w:t>
      </w:r>
      <w:r>
        <w:rPr>
          <w:rFonts w:ascii="Times New Roman" w:hAnsi="Times New Roman" w:eastAsia="FangSong_GB2312" w:cs="FangSong_GB2312"/>
          <w:kern w:val="0"/>
          <w:sz w:val="32"/>
          <w:szCs w:val="32"/>
        </w:rPr>
        <w:t>个，资金</w:t>
      </w:r>
      <w:r>
        <w:rPr>
          <w:rFonts w:ascii="Times New Roman" w:hAnsi="Times New Roman" w:eastAsia="Times New Roman"/>
          <w:kern w:val="0"/>
          <w:sz w:val="32"/>
          <w:szCs w:val="32"/>
          <w:u w:val="single"/>
          <w:lang w:eastAsia="en-US"/>
        </w:rPr>
        <w:t>1253.29</w:t>
      </w:r>
      <w:r>
        <w:rPr>
          <w:rFonts w:ascii="Times New Roman" w:hAnsi="Times New Roman" w:eastAsia="FangSong_GB2312" w:cs="FangSong_GB2312"/>
          <w:kern w:val="0"/>
          <w:sz w:val="32"/>
          <w:szCs w:val="32"/>
        </w:rPr>
        <w:t>万元，占一般公共预算项目支出总额的</w:t>
      </w:r>
      <w:r>
        <w:rPr>
          <w:rFonts w:ascii="Times New Roman" w:hAnsi="Times New Roman" w:eastAsia="Times New Roman"/>
          <w:kern w:val="0"/>
          <w:sz w:val="32"/>
          <w:szCs w:val="32"/>
          <w:u w:val="single"/>
          <w:lang w:eastAsia="en-US"/>
        </w:rPr>
        <w:t>100</w:t>
      </w:r>
      <w:r>
        <w:rPr>
          <w:rFonts w:ascii="Times New Roman" w:hAnsi="Times New Roman" w:eastAsia="FangSong_GB2312" w:cs="FangSong_GB2312"/>
          <w:kern w:val="0"/>
          <w:sz w:val="32"/>
          <w:szCs w:val="32"/>
          <w:u w:val="single"/>
          <w:lang w:eastAsia="en-US"/>
        </w:rPr>
        <w:t>%</w:t>
      </w:r>
      <w:r>
        <w:rPr>
          <w:rFonts w:hint="eastAsia" w:ascii="Times New Roman" w:hAnsi="Times New Roman" w:eastAsia="FangSong_GB2312" w:cs="FangSong_GB2312"/>
          <w:kern w:val="0"/>
          <w:sz w:val="32"/>
          <w:szCs w:val="32"/>
          <w:lang w:eastAsia="zh-CN"/>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组织对</w:t>
      </w:r>
      <w:r>
        <w:rPr>
          <w:rFonts w:hint="eastAsia" w:ascii="Times New Roman" w:hAnsi="Times New Roman" w:eastAsia="FangSong_GB2312" w:cs="FangSong_GB2312"/>
          <w:kern w:val="0"/>
          <w:sz w:val="32"/>
          <w:szCs w:val="32"/>
          <w:lang w:val="en-US" w:eastAsia="zh-CN"/>
        </w:rPr>
        <w:t>少数民族刊物业务补助项目</w:t>
      </w:r>
      <w:r>
        <w:rPr>
          <w:rFonts w:ascii="Times New Roman" w:hAnsi="Times New Roman" w:eastAsia="FangSong_GB2312" w:cs="FangSong_GB2312"/>
          <w:kern w:val="0"/>
          <w:sz w:val="32"/>
          <w:szCs w:val="32"/>
        </w:rPr>
        <w:t>开展了部门评价，涉及一般公共预算支出</w:t>
      </w:r>
      <w:r>
        <w:rPr>
          <w:rFonts w:hint="eastAsia" w:ascii="Times New Roman" w:hAnsi="Times New Roman" w:eastAsia="宋体"/>
          <w:kern w:val="0"/>
          <w:sz w:val="32"/>
          <w:szCs w:val="32"/>
          <w:u w:val="single"/>
          <w:lang w:val="en-US" w:eastAsia="zh-CN"/>
        </w:rPr>
        <w:t>101</w:t>
      </w:r>
      <w:r>
        <w:rPr>
          <w:rFonts w:ascii="Times New Roman" w:hAnsi="Times New Roman" w:eastAsia="FangSong_GB2312" w:cs="FangSong_GB2312"/>
          <w:kern w:val="0"/>
          <w:sz w:val="32"/>
          <w:szCs w:val="32"/>
        </w:rPr>
        <w:t>万元，从评价情况看，</w:t>
      </w:r>
      <w:r>
        <w:rPr>
          <w:rFonts w:hint="eastAsia" w:ascii="Times New Roman" w:hAnsi="Times New Roman" w:eastAsia="FangSong_GB2312" w:cs="FangSong_GB2312"/>
          <w:kern w:val="0"/>
          <w:sz w:val="32"/>
          <w:szCs w:val="32"/>
        </w:rPr>
        <w:t>绩效评价总体目标基本实现，刊物内容质量、印刷质量均有所保障，刊物全年发行</w:t>
      </w:r>
      <w:r>
        <w:rPr>
          <w:rFonts w:hint="eastAsia" w:ascii="Times New Roman" w:hAnsi="Times New Roman" w:eastAsia="FangSong_GB2312" w:cs="FangSong_GB2312"/>
          <w:kern w:val="0"/>
          <w:sz w:val="32"/>
          <w:szCs w:val="32"/>
          <w:lang w:val="en-US" w:eastAsia="zh-CN"/>
        </w:rPr>
        <w:t>20</w:t>
      </w:r>
      <w:r>
        <w:rPr>
          <w:rFonts w:hint="eastAsia" w:ascii="Times New Roman" w:hAnsi="Times New Roman" w:eastAsia="FangSong_GB2312" w:cs="FangSong_GB2312"/>
          <w:kern w:val="0"/>
          <w:sz w:val="32"/>
          <w:szCs w:val="32"/>
        </w:rPr>
        <w:t>万余册，较好地完成了刊物覆盖率目标</w:t>
      </w:r>
      <w:r>
        <w:rPr>
          <w:rFonts w:ascii="Times New Roman" w:hAnsi="Times New Roman" w:eastAsia="FangSong_GB2312" w:cs="FangSong_GB2312"/>
          <w:kern w:val="0"/>
          <w:sz w:val="32"/>
          <w:szCs w:val="32"/>
        </w:rPr>
        <w:t>。</w:t>
      </w:r>
    </w:p>
    <w:p>
      <w:pPr>
        <w:pStyle w:val="31"/>
        <w:keepNext w:val="0"/>
        <w:keepLines w:val="0"/>
        <w:pageBreakBefore w:val="0"/>
        <w:widowControl/>
        <w:kinsoku/>
        <w:wordWrap/>
        <w:overflowPunct/>
        <w:topLinePunct w:val="0"/>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楷体" w:cs="楷体"/>
          <w:b/>
          <w:bCs/>
          <w:kern w:val="0"/>
          <w:sz w:val="32"/>
          <w:szCs w:val="32"/>
        </w:rPr>
        <w:t>（二）部门决算中项目绩效自评结果。</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实践杂志社</w:t>
      </w:r>
      <w:r>
        <w:rPr>
          <w:rFonts w:ascii="Times New Roman" w:hAnsi="Times New Roman" w:eastAsia="Times New Roman"/>
          <w:kern w:val="0"/>
          <w:sz w:val="32"/>
          <w:szCs w:val="32"/>
          <w:lang w:eastAsia="en-US"/>
        </w:rPr>
        <w:t>2025</w:t>
      </w:r>
      <w:r>
        <w:rPr>
          <w:rFonts w:ascii="Times New Roman" w:hAnsi="Times New Roman" w:eastAsia="FangSong_GB2312" w:cs="FangSong_GB2312"/>
          <w:kern w:val="0"/>
          <w:sz w:val="32"/>
          <w:szCs w:val="32"/>
        </w:rPr>
        <w:t>年度在决算中反映</w:t>
      </w:r>
      <w:r>
        <w:rPr>
          <w:rFonts w:hint="eastAsia" w:ascii="Times New Roman" w:hAnsi="Times New Roman" w:eastAsia="宋体"/>
          <w:kern w:val="0"/>
          <w:sz w:val="32"/>
          <w:szCs w:val="32"/>
          <w:u w:val="single"/>
          <w:lang w:val="en-US" w:eastAsia="zh-CN"/>
        </w:rPr>
        <w:t>10</w:t>
      </w:r>
      <w:r>
        <w:rPr>
          <w:rFonts w:ascii="Times New Roman" w:hAnsi="Times New Roman" w:eastAsia="FangSong_GB2312" w:cs="FangSong_GB2312"/>
          <w:kern w:val="0"/>
          <w:sz w:val="32"/>
          <w:szCs w:val="32"/>
        </w:rPr>
        <w:t>个一般公共预算项目，共</w:t>
      </w:r>
      <w:r>
        <w:rPr>
          <w:rFonts w:hint="eastAsia" w:ascii="Times New Roman" w:hAnsi="Times New Roman" w:eastAsia="宋体"/>
          <w:kern w:val="0"/>
          <w:sz w:val="32"/>
          <w:szCs w:val="32"/>
          <w:u w:val="single"/>
          <w:lang w:val="en-US" w:eastAsia="zh-CN"/>
        </w:rPr>
        <w:t>10</w:t>
      </w:r>
      <w:r>
        <w:rPr>
          <w:rFonts w:ascii="Times New Roman" w:hAnsi="Times New Roman" w:eastAsia="FangSong_GB2312" w:cs="FangSong_GB2312"/>
          <w:kern w:val="0"/>
          <w:sz w:val="32"/>
          <w:szCs w:val="32"/>
        </w:rPr>
        <w:t>个项目的绩效自评结果。</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eastAsia="en-US"/>
        </w:rPr>
        <w:t>1.《实践》党刊业务补助项目自评综述：根据年初设定的绩效目标，项目自评得分</w:t>
      </w:r>
      <w:r>
        <w:rPr>
          <w:rFonts w:hint="eastAsia" w:ascii="Times New Roman" w:hAnsi="Times New Roman" w:eastAsia="FangSong_GB2312" w:cs="FangSong_GB2312"/>
          <w:kern w:val="0"/>
          <w:sz w:val="32"/>
          <w:szCs w:val="32"/>
          <w:lang w:val="en-US" w:eastAsia="zh-CN"/>
        </w:rPr>
        <w:t>100</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eastAsia="en-US"/>
        </w:rPr>
        <w:t>499</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eastAsia="en-US"/>
        </w:rPr>
        <w:t>499</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eastAsia="en-US"/>
        </w:rPr>
        <w:t>100%</w:t>
      </w:r>
      <w:r>
        <w:rPr>
          <w:rFonts w:hint="eastAsia" w:ascii="Times New Roman" w:hAnsi="Times New Roman" w:eastAsia="FangSong_GB2312" w:cs="FangSong_GB2312"/>
          <w:kern w:val="0"/>
          <w:sz w:val="32"/>
          <w:szCs w:val="32"/>
          <w:lang w:eastAsia="en-US"/>
        </w:rPr>
        <w:t>。项目绩效目标完成情况：从2024年全年运转情况来看，绩效评价总体目标基本实现，刊物内容质量、印刷质量均有所保障，刊物全年发行</w:t>
      </w:r>
      <w:r>
        <w:rPr>
          <w:rFonts w:hint="eastAsia" w:ascii="Times New Roman" w:hAnsi="Times New Roman" w:eastAsia="FangSong_GB2312" w:cs="FangSong_GB2312"/>
          <w:kern w:val="0"/>
          <w:sz w:val="32"/>
          <w:szCs w:val="32"/>
          <w:lang w:val="en-US" w:eastAsia="zh-CN"/>
        </w:rPr>
        <w:t>13.4</w:t>
      </w:r>
      <w:r>
        <w:rPr>
          <w:rFonts w:hint="eastAsia" w:ascii="Times New Roman" w:hAnsi="Times New Roman" w:eastAsia="FangSong_GB2312" w:cs="FangSong_GB2312"/>
          <w:kern w:val="0"/>
          <w:sz w:val="32"/>
          <w:szCs w:val="32"/>
          <w:lang w:eastAsia="en-US"/>
        </w:rPr>
        <w:t>万余册，较好地完成了刊物覆盖率目标。发现的主要问题及原因：发挥党刊的理论宣传和实践指导功能仍存在短板和弱项，理论解读能力有待进一步提升，内部体制机制需要进一步完善，激发干部队伍积极性，主要因对新媒体平台研究不够，创新思路手段不多。</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val="en-US" w:eastAsia="zh-CN"/>
        </w:rPr>
        <w:t>2</w:t>
      </w:r>
      <w:r>
        <w:rPr>
          <w:rFonts w:hint="eastAsia" w:ascii="Times New Roman" w:hAnsi="Times New Roman" w:eastAsia="FangSong_GB2312" w:cs="FangSong_GB2312"/>
          <w:kern w:val="0"/>
          <w:sz w:val="32"/>
          <w:szCs w:val="32"/>
          <w:lang w:eastAsia="en-US"/>
        </w:rPr>
        <w:t>.少数民族刊物业务补助项目自评综述：根据年初设定的绩效目标，项目自评得分100分。全年预算数为</w:t>
      </w:r>
      <w:r>
        <w:rPr>
          <w:rFonts w:hint="eastAsia" w:ascii="Times New Roman" w:hAnsi="Times New Roman" w:eastAsia="FangSong_GB2312" w:cs="FangSong_GB2312"/>
          <w:kern w:val="0"/>
          <w:sz w:val="32"/>
          <w:szCs w:val="32"/>
          <w:u w:val="single"/>
          <w:lang w:eastAsia="en-US"/>
        </w:rPr>
        <w:t>101</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eastAsia="en-US"/>
        </w:rPr>
        <w:t>101</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eastAsia="en-US"/>
        </w:rPr>
        <w:t>100%</w:t>
      </w:r>
      <w:r>
        <w:rPr>
          <w:rFonts w:hint="eastAsia" w:ascii="Times New Roman" w:hAnsi="Times New Roman" w:eastAsia="FangSong_GB2312" w:cs="FangSong_GB2312"/>
          <w:kern w:val="0"/>
          <w:sz w:val="32"/>
          <w:szCs w:val="32"/>
          <w:lang w:eastAsia="en-US"/>
        </w:rPr>
        <w:t>。项目绩效目标完成情况：从202</w:t>
      </w:r>
      <w:r>
        <w:rPr>
          <w:rFonts w:hint="eastAsia" w:ascii="Times New Roman" w:hAnsi="Times New Roman" w:eastAsia="FangSong_GB2312" w:cs="FangSong_GB2312"/>
          <w:kern w:val="0"/>
          <w:sz w:val="32"/>
          <w:szCs w:val="32"/>
          <w:lang w:val="en-US" w:eastAsia="zh-CN"/>
        </w:rPr>
        <w:t>5</w:t>
      </w:r>
      <w:r>
        <w:rPr>
          <w:rFonts w:hint="eastAsia" w:ascii="Times New Roman" w:hAnsi="Times New Roman" w:eastAsia="FangSong_GB2312" w:cs="FangSong_GB2312"/>
          <w:kern w:val="0"/>
          <w:sz w:val="32"/>
          <w:szCs w:val="32"/>
          <w:lang w:eastAsia="en-US"/>
        </w:rPr>
        <w:t>年全年运转情况来看，绩效评价总体目标基本实现，蒙文刊物内容质量、印刷质量均有所保障，蒙文刊物全年发行</w:t>
      </w:r>
      <w:r>
        <w:rPr>
          <w:rFonts w:hint="eastAsia" w:ascii="Times New Roman" w:hAnsi="Times New Roman" w:eastAsia="FangSong_GB2312" w:cs="FangSong_GB2312"/>
          <w:kern w:val="0"/>
          <w:sz w:val="32"/>
          <w:szCs w:val="32"/>
          <w:lang w:val="en-US" w:eastAsia="zh-CN"/>
        </w:rPr>
        <w:t>1.67万</w:t>
      </w:r>
      <w:r>
        <w:rPr>
          <w:rFonts w:hint="eastAsia" w:ascii="Times New Roman" w:hAnsi="Times New Roman" w:eastAsia="FangSong_GB2312" w:cs="FangSong_GB2312"/>
          <w:kern w:val="0"/>
          <w:sz w:val="32"/>
          <w:szCs w:val="32"/>
          <w:lang w:eastAsia="en-US"/>
        </w:rPr>
        <w:t>册，较好地完成了刊物覆盖率目标。发现的主要问题及原因：数量指标中的出版杂志数量，年度指标值与实际完成值存在较大差异，主要因期刊征订数量受到多方面因素的影响，存在不可预测性和不确定性，在制定目标值时很难准确或推断出具体数值。</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val="en-US" w:eastAsia="zh-CN"/>
        </w:rPr>
        <w:t>3</w:t>
      </w:r>
      <w:r>
        <w:rPr>
          <w:rFonts w:hint="eastAsia" w:ascii="Times New Roman" w:hAnsi="Times New Roman" w:eastAsia="FangSong_GB2312" w:cs="FangSong_GB2312"/>
          <w:kern w:val="0"/>
          <w:sz w:val="32"/>
          <w:szCs w:val="32"/>
          <w:lang w:eastAsia="en-US"/>
        </w:rPr>
        <w:t>.“学习强国”内蒙古学习平台运营经费项目自评综述：根据年初设定的绩效目标，项目自评得分</w:t>
      </w:r>
      <w:r>
        <w:rPr>
          <w:rFonts w:hint="eastAsia" w:ascii="Times New Roman" w:hAnsi="Times New Roman" w:eastAsia="FangSong_GB2312" w:cs="FangSong_GB2312"/>
          <w:kern w:val="0"/>
          <w:sz w:val="32"/>
          <w:szCs w:val="32"/>
          <w:lang w:val="en-US" w:eastAsia="zh-CN"/>
        </w:rPr>
        <w:t>100</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eastAsia="en-US"/>
        </w:rPr>
        <w:t>450</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eastAsia="en-US"/>
        </w:rPr>
        <w:t>450</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eastAsia="en-US"/>
        </w:rPr>
        <w:t>100%</w:t>
      </w:r>
      <w:r>
        <w:rPr>
          <w:rFonts w:hint="eastAsia" w:ascii="Times New Roman" w:hAnsi="Times New Roman" w:eastAsia="FangSong_GB2312" w:cs="FangSong_GB2312"/>
          <w:kern w:val="0"/>
          <w:sz w:val="32"/>
          <w:szCs w:val="32"/>
          <w:lang w:eastAsia="en-US"/>
        </w:rPr>
        <w:t>。项目绩效目标完成情况：</w:t>
      </w:r>
      <w:r>
        <w:rPr>
          <w:rFonts w:hint="default" w:ascii="Times New Roman" w:hAnsi="Times New Roman" w:eastAsia="仿宋" w:cs="Times New Roman Regular"/>
          <w:kern w:val="2"/>
          <w:sz w:val="32"/>
          <w:szCs w:val="32"/>
          <w:lang w:val="en-US" w:eastAsia="zh-CN"/>
        </w:rPr>
        <w:t>2025年如期完成“学习强国”内蒙古学习平台既定目标和任务，全年发布稿件15191条，开设专题20多个，其中涉及“两个屏障”“两个基地”“一个桥头堡”“铸牢中华民族共同体意识”等自治区党委政府重点工作任务宣传，为全区党员教育提供了权威、翔实、及时的学习资料。</w:t>
      </w:r>
      <w:r>
        <w:rPr>
          <w:rFonts w:hint="eastAsia" w:ascii="Times New Roman" w:hAnsi="Times New Roman" w:eastAsia="FangSong_GB2312" w:cs="FangSong_GB2312"/>
          <w:kern w:val="0"/>
          <w:sz w:val="32"/>
          <w:szCs w:val="32"/>
          <w:lang w:eastAsia="en-US"/>
        </w:rPr>
        <w:t>创新制作了一批在全国全区有传播力、引导力、影响力、公信力的优质作品</w:t>
      </w:r>
      <w:r>
        <w:rPr>
          <w:rFonts w:hint="eastAsia" w:ascii="Times New Roman" w:hAnsi="Times New Roman" w:eastAsia="FangSong_GB2312" w:cs="FangSong_GB2312"/>
          <w:kern w:val="0"/>
          <w:sz w:val="32"/>
          <w:szCs w:val="32"/>
          <w:lang w:eastAsia="zh-CN"/>
        </w:rPr>
        <w:t>。</w:t>
      </w:r>
      <w:r>
        <w:rPr>
          <w:rFonts w:hint="eastAsia" w:ascii="Times New Roman" w:hAnsi="Times New Roman" w:eastAsia="FangSong_GB2312" w:cs="FangSong_GB2312"/>
          <w:kern w:val="0"/>
          <w:sz w:val="32"/>
          <w:szCs w:val="32"/>
          <w:lang w:eastAsia="en-US"/>
        </w:rPr>
        <w:t>发现的主要问题及原因：</w:t>
      </w:r>
      <w:r>
        <w:rPr>
          <w:rFonts w:hint="eastAsia" w:ascii="Times New Roman" w:hAnsi="Times New Roman" w:eastAsia="FangSong_GB2312" w:cs="FangSong_GB2312"/>
          <w:kern w:val="0"/>
          <w:sz w:val="32"/>
          <w:szCs w:val="32"/>
          <w:lang w:val="en-US" w:eastAsia="zh-CN"/>
        </w:rPr>
        <w:t>本年度尚未发现问题</w:t>
      </w:r>
      <w:r>
        <w:rPr>
          <w:rFonts w:hint="eastAsia" w:ascii="Times New Roman" w:hAnsi="Times New Roman" w:eastAsia="FangSong_GB2312" w:cs="FangSong_GB2312"/>
          <w:kern w:val="0"/>
          <w:sz w:val="32"/>
          <w:szCs w:val="32"/>
          <w:lang w:eastAsia="en-US"/>
        </w:rPr>
        <w:t>。</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val="en-US" w:eastAsia="zh-CN"/>
        </w:rPr>
        <w:t>4</w:t>
      </w:r>
      <w:r>
        <w:rPr>
          <w:rFonts w:hint="eastAsia" w:ascii="Times New Roman" w:hAnsi="Times New Roman" w:eastAsia="FangSong_GB2312" w:cs="FangSong_GB2312"/>
          <w:kern w:val="0"/>
          <w:sz w:val="32"/>
          <w:szCs w:val="32"/>
          <w:lang w:eastAsia="en-US"/>
        </w:rPr>
        <w:t>.《中心组学习》办刊业务项目自评综述：根据年初设定的绩效目标，项目自评得分</w:t>
      </w:r>
      <w:r>
        <w:rPr>
          <w:rFonts w:hint="eastAsia" w:ascii="Times New Roman" w:hAnsi="Times New Roman" w:eastAsia="FangSong_GB2312" w:cs="FangSong_GB2312"/>
          <w:kern w:val="0"/>
          <w:sz w:val="32"/>
          <w:szCs w:val="32"/>
          <w:u w:val="single"/>
          <w:lang w:eastAsia="en-US"/>
        </w:rPr>
        <w:t>99.</w:t>
      </w:r>
      <w:r>
        <w:rPr>
          <w:rFonts w:hint="eastAsia" w:ascii="Times New Roman" w:hAnsi="Times New Roman" w:eastAsia="FangSong_GB2312" w:cs="FangSong_GB2312"/>
          <w:kern w:val="0"/>
          <w:sz w:val="32"/>
          <w:szCs w:val="32"/>
          <w:u w:val="single"/>
          <w:lang w:val="en-US" w:eastAsia="zh-CN"/>
        </w:rPr>
        <w:t>59</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eastAsia="en-US"/>
        </w:rPr>
        <w:t>35</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eastAsia="en-US"/>
        </w:rPr>
        <w:t>35</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eastAsia="en-US"/>
        </w:rPr>
        <w:t>100%</w:t>
      </w:r>
      <w:r>
        <w:rPr>
          <w:rFonts w:hint="eastAsia" w:ascii="Times New Roman" w:hAnsi="Times New Roman" w:eastAsia="FangSong_GB2312" w:cs="FangSong_GB2312"/>
          <w:kern w:val="0"/>
          <w:sz w:val="32"/>
          <w:szCs w:val="32"/>
          <w:lang w:eastAsia="en-US"/>
        </w:rPr>
        <w:t>。项目绩效目标完成情况：202</w:t>
      </w:r>
      <w:r>
        <w:rPr>
          <w:rFonts w:hint="eastAsia" w:ascii="Times New Roman" w:hAnsi="Times New Roman" w:eastAsia="FangSong_GB2312" w:cs="FangSong_GB2312"/>
          <w:kern w:val="0"/>
          <w:sz w:val="32"/>
          <w:szCs w:val="32"/>
          <w:lang w:val="en-US" w:eastAsia="zh-CN"/>
        </w:rPr>
        <w:t>5</w:t>
      </w:r>
      <w:r>
        <w:rPr>
          <w:rFonts w:hint="eastAsia" w:ascii="Times New Roman" w:hAnsi="Times New Roman" w:eastAsia="FangSong_GB2312" w:cs="FangSong_GB2312"/>
          <w:kern w:val="0"/>
          <w:sz w:val="32"/>
          <w:szCs w:val="32"/>
          <w:lang w:eastAsia="en-US"/>
        </w:rPr>
        <w:t>年刊物绩效目标已全部完成。发现的主要问题及原因：成本指标“支付第三方劳务派遣公司用人费用等劳务费”超出预算金额主要因预算不够精准。</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val="en-US" w:eastAsia="zh-CN"/>
        </w:rPr>
        <w:t>5</w:t>
      </w:r>
      <w:r>
        <w:rPr>
          <w:rFonts w:hint="eastAsia" w:ascii="Times New Roman" w:hAnsi="Times New Roman" w:eastAsia="FangSong_GB2312" w:cs="FangSong_GB2312"/>
          <w:kern w:val="0"/>
          <w:sz w:val="32"/>
          <w:szCs w:val="32"/>
          <w:lang w:eastAsia="en-US"/>
        </w:rPr>
        <w:t>.“‘北疆文化的传播效果调研’活动项目”自评综述：根据年初设定的绩效目标，项目自评得分</w:t>
      </w:r>
      <w:r>
        <w:rPr>
          <w:rFonts w:hint="eastAsia" w:ascii="Times New Roman" w:hAnsi="Times New Roman" w:eastAsia="FangSong_GB2312" w:cs="FangSong_GB2312"/>
          <w:kern w:val="0"/>
          <w:sz w:val="32"/>
          <w:szCs w:val="32"/>
          <w:u w:val="single"/>
          <w:lang w:val="en-US" w:eastAsia="zh-CN"/>
        </w:rPr>
        <w:t>98.5</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val="en-US" w:eastAsia="zh-CN"/>
        </w:rPr>
        <w:t>6</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val="en-US" w:eastAsia="zh-CN"/>
        </w:rPr>
        <w:t>4.33</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val="en-US" w:eastAsia="zh-CN"/>
        </w:rPr>
        <w:t>72.17</w:t>
      </w:r>
      <w:r>
        <w:rPr>
          <w:rFonts w:hint="eastAsia" w:ascii="Times New Roman" w:hAnsi="Times New Roman" w:eastAsia="FangSong_GB2312" w:cs="FangSong_GB2312"/>
          <w:kern w:val="0"/>
          <w:sz w:val="32"/>
          <w:szCs w:val="32"/>
          <w:u w:val="single"/>
          <w:lang w:eastAsia="en-US"/>
        </w:rPr>
        <w:t>%</w:t>
      </w:r>
      <w:r>
        <w:rPr>
          <w:rFonts w:hint="eastAsia" w:ascii="Times New Roman" w:hAnsi="Times New Roman" w:eastAsia="FangSong_GB2312" w:cs="FangSong_GB2312"/>
          <w:kern w:val="0"/>
          <w:sz w:val="32"/>
          <w:szCs w:val="32"/>
          <w:lang w:eastAsia="en-US"/>
        </w:rPr>
        <w:t>。项目绩效目标完成情况：形成高质量论文2篇、调研报告1篇、研究报告1篇等多项研究成果，对于建构和强化宣传北疆文化的全媒体矩阵，逐步形成一整套完善的常态化宣传机制，增强铸牢中华民族共同体意识的广泛宣传，具有现实价值，同时也为北疆文化传播实践与相关政策制定提供了理论支撑和实践参考。发现的主要问题及原因：因项目人员同时参与与实践杂志社开展的“行走北疆大地、感悟思想伟力”主题调研行动，多地调研与北疆文化专项调研合并进行，差旅费多通过杂志社调研进行了报销。</w:t>
      </w:r>
      <w:r>
        <w:rPr>
          <w:rFonts w:hint="eastAsia" w:ascii="Times New Roman" w:hAnsi="Times New Roman" w:eastAsia="FangSong_GB2312" w:cs="FangSong_GB2312"/>
          <w:kern w:val="0"/>
          <w:sz w:val="32"/>
          <w:szCs w:val="32"/>
          <w:lang w:val="en-US" w:eastAsia="zh-CN"/>
        </w:rPr>
        <w:t>故产生了资金结余，</w:t>
      </w:r>
      <w:r>
        <w:rPr>
          <w:rFonts w:hint="eastAsia" w:ascii="Times New Roman" w:hAnsi="Times New Roman" w:eastAsia="FangSong_GB2312" w:cs="FangSong_GB2312"/>
          <w:kern w:val="0"/>
          <w:sz w:val="32"/>
          <w:szCs w:val="32"/>
          <w:lang w:eastAsia="en-US"/>
        </w:rPr>
        <w:t>剩余1</w:t>
      </w:r>
      <w:r>
        <w:rPr>
          <w:rFonts w:hint="eastAsia" w:ascii="Times New Roman" w:hAnsi="Times New Roman" w:eastAsia="FangSong_GB2312" w:cs="FangSong_GB2312"/>
          <w:kern w:val="0"/>
          <w:sz w:val="32"/>
          <w:szCs w:val="32"/>
          <w:lang w:val="en-US" w:eastAsia="zh-CN"/>
        </w:rPr>
        <w:t>.</w:t>
      </w:r>
      <w:r>
        <w:rPr>
          <w:rFonts w:hint="eastAsia" w:ascii="Times New Roman" w:hAnsi="Times New Roman" w:eastAsia="FangSong_GB2312" w:cs="FangSong_GB2312"/>
          <w:kern w:val="0"/>
          <w:sz w:val="32"/>
          <w:szCs w:val="32"/>
          <w:lang w:eastAsia="en-US"/>
        </w:rPr>
        <w:t>67</w:t>
      </w:r>
      <w:r>
        <w:rPr>
          <w:rFonts w:hint="eastAsia" w:ascii="Times New Roman" w:hAnsi="Times New Roman" w:eastAsia="FangSong_GB2312" w:cs="FangSong_GB2312"/>
          <w:kern w:val="0"/>
          <w:sz w:val="32"/>
          <w:szCs w:val="32"/>
          <w:lang w:val="en-US" w:eastAsia="zh-CN"/>
        </w:rPr>
        <w:t>万</w:t>
      </w:r>
      <w:r>
        <w:rPr>
          <w:rFonts w:hint="eastAsia" w:ascii="Times New Roman" w:hAnsi="Times New Roman" w:eastAsia="FangSong_GB2312" w:cs="FangSong_GB2312"/>
          <w:kern w:val="0"/>
          <w:sz w:val="32"/>
          <w:szCs w:val="32"/>
          <w:lang w:eastAsia="en-US"/>
        </w:rPr>
        <w:t>元已按相关规定及时退回自治区财政。</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仿宋" w:cs="仿宋"/>
          <w:color w:val="000000" w:themeColor="text1"/>
          <w:kern w:val="2"/>
          <w:sz w:val="32"/>
          <w:szCs w:val="32"/>
          <w:lang w:val="en-US" w:eastAsia="zh-CN"/>
          <w14:textFill>
            <w14:solidFill>
              <w14:schemeClr w14:val="tx1"/>
            </w14:solidFill>
          </w14:textFill>
        </w:rPr>
      </w:pPr>
      <w:r>
        <w:rPr>
          <w:rFonts w:hint="eastAsia" w:ascii="Times New Roman" w:hAnsi="Times New Roman" w:eastAsia="FangSong_GB2312" w:cs="FangSong_GB2312"/>
          <w:kern w:val="0"/>
          <w:sz w:val="32"/>
          <w:szCs w:val="32"/>
          <w:lang w:val="en-US" w:eastAsia="zh-CN"/>
        </w:rPr>
        <w:t>6</w:t>
      </w:r>
      <w:r>
        <w:rPr>
          <w:rFonts w:hint="eastAsia" w:ascii="Times New Roman" w:hAnsi="Times New Roman" w:eastAsia="FangSong_GB2312" w:cs="FangSong_GB2312"/>
          <w:kern w:val="0"/>
          <w:sz w:val="32"/>
          <w:szCs w:val="32"/>
          <w:lang w:eastAsia="en-US"/>
        </w:rPr>
        <w:t>.“万里脉动在北疆——长城与黄河在内蒙古五次拥抱”融合宣传活动项目自评综述：根据年初设定的绩效目标，项目自评得分</w:t>
      </w:r>
      <w:r>
        <w:rPr>
          <w:rFonts w:hint="eastAsia" w:eastAsia="FangSong_GB2312" w:cs="FangSong_GB2312"/>
          <w:kern w:val="0"/>
          <w:sz w:val="32"/>
          <w:szCs w:val="32"/>
          <w:u w:val="single"/>
          <w:lang w:val="en-US" w:eastAsia="zh-CN"/>
        </w:rPr>
        <w:t>98.14</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eastAsia="en-US"/>
        </w:rPr>
        <w:t>75</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val="en-US" w:eastAsia="zh-CN"/>
        </w:rPr>
        <w:t>74.08</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val="en-US" w:eastAsia="zh-CN"/>
        </w:rPr>
        <w:t>98.77</w:t>
      </w:r>
      <w:r>
        <w:rPr>
          <w:rFonts w:hint="eastAsia" w:ascii="Times New Roman" w:hAnsi="Times New Roman" w:eastAsia="FangSong_GB2312" w:cs="FangSong_GB2312"/>
          <w:kern w:val="0"/>
          <w:sz w:val="32"/>
          <w:szCs w:val="32"/>
          <w:u w:val="single"/>
          <w:lang w:val="en-US" w:eastAsia="en-US"/>
        </w:rPr>
        <w:t>%</w:t>
      </w:r>
      <w:r>
        <w:rPr>
          <w:rFonts w:hint="eastAsia" w:ascii="Times New Roman" w:hAnsi="Times New Roman" w:eastAsia="FangSong_GB2312" w:cs="FangSong_GB2312"/>
          <w:kern w:val="0"/>
          <w:sz w:val="32"/>
          <w:szCs w:val="32"/>
          <w:lang w:eastAsia="en-US"/>
        </w:rPr>
        <w:t>。项目绩效目标完成情况</w:t>
      </w:r>
      <w:r>
        <w:rPr>
          <w:rFonts w:hint="eastAsia" w:ascii="Times New Roman" w:hAnsi="Times New Roman" w:eastAsia="仿宋" w:cs="仿宋"/>
          <w:color w:val="000000" w:themeColor="text1"/>
          <w:kern w:val="2"/>
          <w:sz w:val="32"/>
          <w:szCs w:val="32"/>
          <w:lang w:val="en-US" w:eastAsia="zh-CN"/>
          <w14:textFill>
            <w14:solidFill>
              <w14:schemeClr w14:val="tx1"/>
            </w14:solidFill>
          </w14:textFill>
        </w:rPr>
        <w:t>举办“长城和黄河在这里拥抱”交响声乐作品音乐会，出版《长城脚下黄河臂弯——内蒙古文旅融合的古今交响》图书，推出5集《长城与黄河在内蒙古五次拥抱》系列微视频纪录片。</w:t>
      </w:r>
      <w:r>
        <w:rPr>
          <w:rFonts w:hint="eastAsia" w:ascii="Times New Roman" w:hAnsi="Times New Roman" w:eastAsia="FangSong_GB2312" w:cs="FangSong_GB2312"/>
          <w:kern w:val="0"/>
          <w:sz w:val="32"/>
          <w:szCs w:val="32"/>
          <w:lang w:eastAsia="en-US"/>
        </w:rPr>
        <w:t>发现的主要问题及原因：</w:t>
      </w:r>
      <w:r>
        <w:rPr>
          <w:rFonts w:ascii="Times New Roman" w:hAnsi="Times New Roman" w:eastAsia="仿宋" w:cs="仿宋"/>
          <w:color w:val="000000" w:themeColor="text1"/>
          <w:sz w:val="32"/>
          <w14:textFill>
            <w14:solidFill>
              <w14:schemeClr w14:val="tx1"/>
            </w14:solidFill>
          </w14:textFill>
        </w:rPr>
        <w:t>民族交响朗诵会</w:t>
      </w:r>
      <w:r>
        <w:rPr>
          <w:rFonts w:hint="eastAsia" w:ascii="Times New Roman" w:hAnsi="Times New Roman" w:eastAsia="仿宋" w:cs="仿宋"/>
          <w:color w:val="000000" w:themeColor="text1"/>
          <w:sz w:val="32"/>
          <w:lang w:val="en-US" w:eastAsia="zh-CN"/>
          <w14:textFill>
            <w14:solidFill>
              <w14:schemeClr w14:val="tx1"/>
            </w14:solidFill>
          </w14:textFill>
        </w:rPr>
        <w:t>实际支出大于年初预算值，主要因</w:t>
      </w:r>
      <w:r>
        <w:rPr>
          <w:rFonts w:hint="default" w:ascii="Times New Roman" w:hAnsi="Times New Roman" w:eastAsia="仿宋" w:cs="Good Times"/>
          <w:color w:val="000000" w:themeColor="text1"/>
          <w:kern w:val="2"/>
          <w:sz w:val="32"/>
          <w:szCs w:val="32"/>
          <w14:textFill>
            <w14:solidFill>
              <w14:schemeClr w14:val="tx1"/>
            </w14:solidFill>
          </w14:textFill>
        </w:rPr>
        <w:t>邀请外省知名指挥家及核心演奏人员，增加新媒体平台的全程直播环节导致费用增加。</w:t>
      </w:r>
      <w:r>
        <w:rPr>
          <w:rFonts w:ascii="Times New Roman" w:hAnsi="Times New Roman" w:eastAsia="仿宋" w:cs="仿宋"/>
          <w:color w:val="000000" w:themeColor="text1"/>
          <w:sz w:val="32"/>
          <w14:textFill>
            <w14:solidFill>
              <w14:schemeClr w14:val="tx1"/>
            </w14:solidFill>
          </w14:textFill>
        </w:rPr>
        <w:t>图书制作及出版等相关费用</w:t>
      </w:r>
      <w:r>
        <w:rPr>
          <w:rFonts w:hint="eastAsia" w:ascii="Times New Roman" w:hAnsi="Times New Roman" w:eastAsia="仿宋" w:cs="仿宋"/>
          <w:color w:val="000000" w:themeColor="text1"/>
          <w:sz w:val="32"/>
          <w:lang w:val="en-US" w:eastAsia="zh-CN"/>
          <w14:textFill>
            <w14:solidFill>
              <w14:schemeClr w14:val="tx1"/>
            </w14:solidFill>
          </w14:textFill>
        </w:rPr>
        <w:t>大于年初预算，</w:t>
      </w:r>
      <w:r>
        <w:rPr>
          <w:rFonts w:hint="eastAsia" w:ascii="Times New Roman" w:hAnsi="Times New Roman" w:eastAsia="仿宋" w:cs="仿宋"/>
          <w:color w:val="000000" w:themeColor="text1"/>
          <w:kern w:val="2"/>
          <w:sz w:val="32"/>
          <w:szCs w:val="32"/>
          <w:lang w:val="en-US" w:eastAsia="zh-CN"/>
          <w14:textFill>
            <w14:solidFill>
              <w14:schemeClr w14:val="tx1"/>
            </w14:solidFill>
          </w14:textFill>
        </w:rPr>
        <w:t>主要因图书制作中使用了需支付稿酬的专业历史照片及珍贵影像资料导致费用增加。</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val="en-US" w:eastAsia="zh-CN"/>
        </w:rPr>
        <w:t>7</w:t>
      </w:r>
      <w:r>
        <w:rPr>
          <w:rFonts w:hint="eastAsia" w:ascii="Times New Roman" w:hAnsi="Times New Roman" w:eastAsia="FangSong_GB2312" w:cs="FangSong_GB2312"/>
          <w:kern w:val="0"/>
          <w:sz w:val="32"/>
          <w:szCs w:val="32"/>
          <w:lang w:eastAsia="en-US"/>
        </w:rPr>
        <w:t>.厅级干部周转房租赁项目自评综述：根据年初设定的绩效目标，项目自评得分</w:t>
      </w:r>
      <w:r>
        <w:rPr>
          <w:rFonts w:hint="eastAsia" w:ascii="Times New Roman" w:hAnsi="Times New Roman" w:eastAsia="FangSong_GB2312" w:cs="FangSong_GB2312"/>
          <w:kern w:val="0"/>
          <w:sz w:val="32"/>
          <w:szCs w:val="32"/>
          <w:u w:val="single"/>
          <w:lang w:eastAsia="en-US"/>
        </w:rPr>
        <w:t>100</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val="en-US" w:eastAsia="zh-CN"/>
        </w:rPr>
        <w:t>2.65</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val="en-US" w:eastAsia="zh-CN"/>
        </w:rPr>
        <w:t>2.65</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val="en-US" w:eastAsia="en-US"/>
        </w:rPr>
        <w:t>100%</w:t>
      </w:r>
      <w:r>
        <w:rPr>
          <w:rFonts w:hint="eastAsia" w:ascii="Times New Roman" w:hAnsi="Times New Roman" w:eastAsia="FangSong_GB2312" w:cs="FangSong_GB2312"/>
          <w:kern w:val="0"/>
          <w:sz w:val="32"/>
          <w:szCs w:val="32"/>
          <w:lang w:eastAsia="en-US"/>
        </w:rPr>
        <w:t>。项目绩效目标完成情况：很好地保障了我部门异地任职厅级干部周转用房，为履职尽责提供了有效保障。发现的主要问题及原因：</w:t>
      </w:r>
      <w:r>
        <w:rPr>
          <w:rFonts w:hint="eastAsia" w:ascii="Times New Roman" w:hAnsi="Times New Roman" w:eastAsia="FangSong_GB2312" w:cs="FangSong_GB2312"/>
          <w:kern w:val="0"/>
          <w:sz w:val="32"/>
          <w:szCs w:val="32"/>
          <w:lang w:val="en-US" w:eastAsia="zh-CN"/>
        </w:rPr>
        <w:t>本年度</w:t>
      </w:r>
      <w:r>
        <w:rPr>
          <w:rFonts w:hint="eastAsia" w:ascii="Times New Roman" w:hAnsi="Times New Roman" w:eastAsia="FangSong_GB2312" w:cs="FangSong_GB2312"/>
          <w:kern w:val="0"/>
          <w:sz w:val="32"/>
          <w:szCs w:val="32"/>
          <w:lang w:eastAsia="en-US"/>
        </w:rPr>
        <w:t>尚未发现问题。</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FangSong_GB2312" w:cs="FangSong_GB2312"/>
          <w:kern w:val="0"/>
          <w:sz w:val="32"/>
          <w:szCs w:val="32"/>
          <w:lang w:val="en-US" w:eastAsia="zh-CN"/>
        </w:rPr>
      </w:pPr>
      <w:r>
        <w:rPr>
          <w:rFonts w:hint="eastAsia" w:ascii="Times New Roman" w:hAnsi="Times New Roman" w:eastAsia="FangSong_GB2312" w:cs="FangSong_GB2312"/>
          <w:kern w:val="0"/>
          <w:sz w:val="32"/>
          <w:szCs w:val="32"/>
          <w:lang w:val="en-US" w:eastAsia="zh-CN"/>
        </w:rPr>
        <w:t>8</w:t>
      </w:r>
      <w:r>
        <w:rPr>
          <w:rFonts w:hint="eastAsia" w:ascii="Times New Roman" w:hAnsi="Times New Roman" w:eastAsia="FangSong_GB2312" w:cs="FangSong_GB2312"/>
          <w:kern w:val="0"/>
          <w:sz w:val="32"/>
          <w:szCs w:val="32"/>
          <w:lang w:eastAsia="en-US"/>
        </w:rPr>
        <w:t>.《内蒙古宣传思想文化工作》和《内蒙古宣传》办刊业务项目自评综述：根据年初设定的绩效目标，项目自评得分</w:t>
      </w:r>
      <w:r>
        <w:rPr>
          <w:rFonts w:hint="eastAsia" w:ascii="Times New Roman" w:hAnsi="Times New Roman" w:eastAsia="FangSong_GB2312" w:cs="FangSong_GB2312"/>
          <w:kern w:val="0"/>
          <w:sz w:val="32"/>
          <w:szCs w:val="32"/>
          <w:u w:val="single"/>
          <w:lang w:val="en-US" w:eastAsia="zh-CN"/>
        </w:rPr>
        <w:t>100</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val="en-US" w:eastAsia="en-US"/>
        </w:rPr>
        <w:t>35</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val="en-US" w:eastAsia="en-US"/>
        </w:rPr>
        <w:t>35</w:t>
      </w:r>
      <w:r>
        <w:rPr>
          <w:rFonts w:hint="eastAsia" w:ascii="Times New Roman" w:hAnsi="Times New Roman" w:eastAsia="FangSong_GB2312" w:cs="FangSong_GB2312"/>
          <w:kern w:val="0"/>
          <w:sz w:val="32"/>
          <w:szCs w:val="32"/>
          <w:lang w:eastAsia="en-US"/>
        </w:rPr>
        <w:t>万元，完成预算的1</w:t>
      </w:r>
      <w:r>
        <w:rPr>
          <w:rFonts w:hint="eastAsia" w:ascii="Times New Roman" w:hAnsi="Times New Roman" w:eastAsia="FangSong_GB2312" w:cs="FangSong_GB2312"/>
          <w:kern w:val="0"/>
          <w:sz w:val="32"/>
          <w:szCs w:val="32"/>
          <w:u w:val="single"/>
          <w:lang w:val="en-US" w:eastAsia="en-US"/>
        </w:rPr>
        <w:t>00%</w:t>
      </w:r>
      <w:r>
        <w:rPr>
          <w:rFonts w:hint="eastAsia" w:ascii="Times New Roman" w:hAnsi="Times New Roman" w:eastAsia="FangSong_GB2312" w:cs="FangSong_GB2312"/>
          <w:kern w:val="0"/>
          <w:sz w:val="32"/>
          <w:szCs w:val="32"/>
          <w:lang w:eastAsia="en-US"/>
        </w:rPr>
        <w:t>。项目绩效目标完成情况：202</w:t>
      </w:r>
      <w:r>
        <w:rPr>
          <w:rFonts w:hint="eastAsia" w:ascii="Times New Roman" w:hAnsi="Times New Roman" w:eastAsia="FangSong_GB2312" w:cs="FangSong_GB2312"/>
          <w:kern w:val="0"/>
          <w:sz w:val="32"/>
          <w:szCs w:val="32"/>
          <w:lang w:val="en-US" w:eastAsia="zh-CN"/>
        </w:rPr>
        <w:t>5</w:t>
      </w:r>
      <w:r>
        <w:rPr>
          <w:rFonts w:hint="eastAsia" w:ascii="Times New Roman" w:hAnsi="Times New Roman" w:eastAsia="FangSong_GB2312" w:cs="FangSong_GB2312"/>
          <w:kern w:val="0"/>
          <w:sz w:val="32"/>
          <w:szCs w:val="32"/>
          <w:lang w:eastAsia="en-US"/>
        </w:rPr>
        <w:t>年2本刊物绩效目标已全部完成。发现的主要问题及原因：</w:t>
      </w:r>
      <w:r>
        <w:rPr>
          <w:rFonts w:hint="eastAsia" w:ascii="Times New Roman" w:hAnsi="Times New Roman" w:eastAsia="FangSong_GB2312" w:cs="FangSong_GB2312"/>
          <w:kern w:val="0"/>
          <w:sz w:val="32"/>
          <w:szCs w:val="32"/>
          <w:lang w:val="en-US" w:eastAsia="zh-CN"/>
        </w:rPr>
        <w:t>本年度尚未发现问题。</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Times New Roman" w:hAnsi="Times New Roman" w:eastAsia="FangSong_GB2312" w:cs="FangSong_GB2312"/>
          <w:kern w:val="0"/>
          <w:sz w:val="32"/>
          <w:szCs w:val="32"/>
          <w:lang w:eastAsia="en-US"/>
        </w:rPr>
      </w:pPr>
      <w:r>
        <w:rPr>
          <w:rFonts w:hint="eastAsia" w:ascii="Times New Roman" w:hAnsi="Times New Roman" w:eastAsia="FangSong_GB2312" w:cs="FangSong_GB2312"/>
          <w:kern w:val="0"/>
          <w:sz w:val="32"/>
          <w:szCs w:val="32"/>
          <w:lang w:val="en-US" w:eastAsia="zh-CN"/>
        </w:rPr>
        <w:t>9</w:t>
      </w:r>
      <w:r>
        <w:rPr>
          <w:rFonts w:hint="eastAsia" w:ascii="Times New Roman" w:hAnsi="Times New Roman" w:eastAsia="FangSong_GB2312" w:cs="FangSong_GB2312"/>
          <w:kern w:val="0"/>
          <w:sz w:val="32"/>
          <w:szCs w:val="32"/>
          <w:lang w:eastAsia="en-US"/>
        </w:rPr>
        <w:t>.</w:t>
      </w:r>
      <w:r>
        <w:rPr>
          <w:rFonts w:hint="eastAsia" w:ascii="Times New Roman" w:hAnsi="Times New Roman" w:eastAsia="FangSong_GB2312" w:cs="FangSong_GB2312"/>
          <w:kern w:val="0"/>
          <w:sz w:val="32"/>
          <w:szCs w:val="32"/>
        </w:rPr>
        <w:t>创新“大评论”生产传播机制打造主流舆论引导“轻骑兵”项目</w:t>
      </w:r>
      <w:r>
        <w:rPr>
          <w:rFonts w:hint="eastAsia" w:ascii="Times New Roman" w:hAnsi="Times New Roman" w:eastAsia="FangSong_GB2312" w:cs="FangSong_GB2312"/>
          <w:kern w:val="0"/>
          <w:sz w:val="32"/>
          <w:szCs w:val="32"/>
          <w:lang w:eastAsia="en-US"/>
        </w:rPr>
        <w:t>自评综述：根据年初设定的绩效目标，项目自评得分</w:t>
      </w:r>
      <w:r>
        <w:rPr>
          <w:rFonts w:hint="eastAsia" w:ascii="Times New Roman" w:hAnsi="Times New Roman" w:eastAsia="FangSong_GB2312" w:cs="FangSong_GB2312"/>
          <w:kern w:val="0"/>
          <w:sz w:val="32"/>
          <w:szCs w:val="32"/>
          <w:u w:val="none"/>
          <w:lang w:val="en-US" w:eastAsia="en-US" w:bidi="ar-SA"/>
        </w:rPr>
        <w:t>9</w:t>
      </w:r>
      <w:r>
        <w:rPr>
          <w:rFonts w:hint="eastAsia" w:ascii="Times New Roman" w:hAnsi="Times New Roman" w:eastAsia="FangSong_GB2312" w:cs="FangSong_GB2312"/>
          <w:kern w:val="0"/>
          <w:sz w:val="32"/>
          <w:szCs w:val="32"/>
          <w:u w:val="none"/>
          <w:lang w:val="en-US" w:eastAsia="zh-CN" w:bidi="ar-SA"/>
        </w:rPr>
        <w:t>5</w:t>
      </w:r>
      <w:r>
        <w:rPr>
          <w:rFonts w:hint="eastAsia" w:ascii="Times New Roman" w:hAnsi="Times New Roman" w:eastAsia="FangSong_GB2312" w:cs="FangSong_GB2312"/>
          <w:kern w:val="0"/>
          <w:sz w:val="32"/>
          <w:szCs w:val="32"/>
          <w:u w:val="none"/>
          <w:lang w:val="en-US" w:eastAsia="zh-CN"/>
        </w:rPr>
        <w:t>.25</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FangSong_GB2312" w:cs="FangSong_GB2312"/>
          <w:kern w:val="0"/>
          <w:sz w:val="32"/>
          <w:szCs w:val="32"/>
          <w:u w:val="single"/>
          <w:lang w:val="en-US" w:eastAsia="zh-CN" w:bidi="ar-SA"/>
        </w:rPr>
        <w:t>50</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FangSong_GB2312" w:cs="FangSong_GB2312"/>
          <w:kern w:val="0"/>
          <w:sz w:val="32"/>
          <w:szCs w:val="32"/>
          <w:u w:val="single"/>
          <w:lang w:val="en-US" w:eastAsia="zh-CN" w:bidi="ar-SA"/>
        </w:rPr>
        <w:t>37.24</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u w:val="single"/>
          <w:lang w:val="en-US" w:eastAsia="zh-CN" w:bidi="ar-SA"/>
        </w:rPr>
        <w:t>74.48</w:t>
      </w:r>
      <w:r>
        <w:rPr>
          <w:rFonts w:hint="eastAsia" w:ascii="Times New Roman" w:hAnsi="Times New Roman" w:eastAsia="FangSong_GB2312" w:cs="FangSong_GB2312"/>
          <w:kern w:val="0"/>
          <w:sz w:val="32"/>
          <w:szCs w:val="32"/>
          <w:u w:val="single"/>
          <w:lang w:val="en-US" w:eastAsia="en-US" w:bidi="ar-SA"/>
        </w:rPr>
        <w:t>%</w:t>
      </w:r>
      <w:r>
        <w:rPr>
          <w:rFonts w:hint="eastAsia" w:ascii="Times New Roman" w:hAnsi="Times New Roman" w:eastAsia="FangSong_GB2312" w:cs="FangSong_GB2312"/>
          <w:kern w:val="0"/>
          <w:sz w:val="32"/>
          <w:szCs w:val="32"/>
          <w:lang w:eastAsia="en-US"/>
        </w:rPr>
        <w:t>。项目绩效目标完成情况：</w:t>
      </w:r>
      <w:r>
        <w:rPr>
          <w:rFonts w:hint="eastAsia" w:ascii="Times New Roman" w:hAnsi="Times New Roman" w:eastAsia="仿宋" w:cs="仿宋"/>
          <w:kern w:val="2"/>
          <w:sz w:val="32"/>
          <w:szCs w:val="32"/>
          <w:lang w:val="en-US" w:eastAsia="zh-CN"/>
        </w:rPr>
        <w:t>从2025年全年运转情况来看，绩效评价总体目标基本实现，各项活动内容质量、社会效益、可持续影响均有所保障，建立起网络评论人才库，大大扩充网络评论人才力量，较好地完成了项目目标</w:t>
      </w:r>
      <w:r>
        <w:rPr>
          <w:rFonts w:hint="eastAsia" w:ascii="Times New Roman" w:hAnsi="Times New Roman" w:eastAsia="FangSong_GB2312" w:cs="FangSong_GB2312"/>
          <w:kern w:val="0"/>
          <w:sz w:val="32"/>
          <w:szCs w:val="32"/>
          <w:lang w:eastAsia="en-US"/>
        </w:rPr>
        <w:t>。发现的主要问题及原因：</w:t>
      </w:r>
      <w:r>
        <w:rPr>
          <w:rFonts w:hint="eastAsia" w:ascii="Times New Roman" w:hAnsi="Times New Roman" w:eastAsia="仿宋" w:cs="仿宋"/>
          <w:sz w:val="32"/>
          <w:lang w:eastAsia="zh-CN"/>
        </w:rPr>
        <w:t>网络评论</w:t>
      </w:r>
      <w:r>
        <w:rPr>
          <w:rFonts w:ascii="Times New Roman" w:hAnsi="Times New Roman" w:eastAsia="仿宋" w:cs="仿宋"/>
          <w:sz w:val="32"/>
        </w:rPr>
        <w:t>队伍人才库建设成本</w:t>
      </w:r>
      <w:r>
        <w:rPr>
          <w:rFonts w:hint="eastAsia" w:ascii="Times New Roman" w:hAnsi="Times New Roman" w:eastAsia="仿宋" w:cs="仿宋"/>
          <w:sz w:val="32"/>
          <w:lang w:val="en-US" w:eastAsia="zh-CN"/>
        </w:rPr>
        <w:t>预算为</w:t>
      </w:r>
      <w:r>
        <w:rPr>
          <w:rFonts w:hint="eastAsia" w:ascii="Times New Roman" w:hAnsi="Times New Roman" w:eastAsia="仿宋" w:cs="仿宋"/>
          <w:kern w:val="2"/>
          <w:sz w:val="32"/>
          <w:szCs w:val="32"/>
        </w:rPr>
        <w:t>23</w:t>
      </w:r>
      <w:r>
        <w:rPr>
          <w:rFonts w:hint="eastAsia" w:ascii="Times New Roman" w:hAnsi="Times New Roman" w:eastAsia="仿宋" w:cs="仿宋"/>
          <w:kern w:val="2"/>
          <w:sz w:val="32"/>
          <w:szCs w:val="32"/>
          <w:lang w:val="en-US" w:eastAsia="zh-CN"/>
        </w:rPr>
        <w:t>万元</w:t>
      </w:r>
      <w:r>
        <w:rPr>
          <w:rFonts w:hint="default" w:ascii="Times New Roman" w:hAnsi="Times New Roman" w:eastAsia="仿宋" w:cs="Times New Roman Regular"/>
          <w:kern w:val="2"/>
          <w:sz w:val="32"/>
          <w:szCs w:val="32"/>
        </w:rPr>
        <w:t>，</w:t>
      </w:r>
      <w:r>
        <w:rPr>
          <w:rFonts w:hint="eastAsia" w:ascii="Times New Roman" w:hAnsi="Times New Roman" w:eastAsia="仿宋" w:cs="Times New Roman Regular"/>
          <w:kern w:val="2"/>
          <w:sz w:val="32"/>
          <w:szCs w:val="32"/>
          <w:lang w:val="en-US" w:eastAsia="zh-CN"/>
        </w:rPr>
        <w:t>实际支出16.85万元，</w:t>
      </w:r>
      <w:r>
        <w:rPr>
          <w:rFonts w:hint="eastAsia" w:ascii="Times New Roman" w:hAnsi="Times New Roman" w:eastAsia="仿宋_GB2312" w:cs="Times New Roman"/>
          <w:color w:val="000000"/>
          <w:sz w:val="32"/>
          <w:szCs w:val="32"/>
          <w:lang w:val="en-US" w:eastAsia="zh-CN"/>
        </w:rPr>
        <w:t>主要因</w:t>
      </w:r>
      <w:r>
        <w:rPr>
          <w:rFonts w:hint="eastAsia" w:ascii="Times New Roman" w:hAnsi="Times New Roman" w:eastAsia="仿宋_GB2312" w:cs="Times New Roman"/>
          <w:color w:val="000000"/>
          <w:sz w:val="32"/>
          <w:szCs w:val="32"/>
          <w:lang w:eastAsia="zh-CN"/>
        </w:rPr>
        <w:t>与研学培训活动共同进行招投标，新媒体协会以26.38万元中标，故节省资金。</w:t>
      </w:r>
      <w:r>
        <w:rPr>
          <w:rFonts w:ascii="Times New Roman" w:hAnsi="Times New Roman" w:eastAsia="仿宋" w:cs="仿宋"/>
          <w:sz w:val="32"/>
        </w:rPr>
        <w:t>研学培训活动经费</w:t>
      </w:r>
      <w:r>
        <w:rPr>
          <w:rFonts w:hint="eastAsia" w:ascii="Times New Roman" w:hAnsi="Times New Roman" w:eastAsia="仿宋" w:cs="仿宋"/>
          <w:sz w:val="32"/>
          <w:lang w:val="en-US" w:eastAsia="zh-CN"/>
        </w:rPr>
        <w:t>预算为</w:t>
      </w:r>
      <w:r>
        <w:rPr>
          <w:rFonts w:hint="eastAsia" w:ascii="Times New Roman" w:hAnsi="Times New Roman" w:eastAsia="仿宋" w:cs="仿宋"/>
          <w:kern w:val="2"/>
          <w:sz w:val="32"/>
          <w:szCs w:val="32"/>
        </w:rPr>
        <w:t>13</w:t>
      </w:r>
      <w:r>
        <w:rPr>
          <w:rFonts w:hint="eastAsia" w:ascii="Times New Roman" w:hAnsi="Times New Roman" w:eastAsia="仿宋" w:cs="仿宋"/>
          <w:kern w:val="2"/>
          <w:sz w:val="32"/>
          <w:szCs w:val="32"/>
          <w:lang w:val="en-US" w:eastAsia="zh-CN"/>
        </w:rPr>
        <w:t>万元</w:t>
      </w:r>
      <w:r>
        <w:rPr>
          <w:rFonts w:hint="default" w:ascii="Times New Roman" w:hAnsi="Times New Roman" w:eastAsia="仿宋" w:cs="Times New Roman Regular"/>
          <w:kern w:val="2"/>
          <w:sz w:val="32"/>
          <w:szCs w:val="32"/>
        </w:rPr>
        <w:t>，</w:t>
      </w:r>
      <w:r>
        <w:rPr>
          <w:rFonts w:hint="eastAsia" w:ascii="Times New Roman" w:hAnsi="Times New Roman" w:eastAsia="仿宋" w:cs="Times New Roman Regular"/>
          <w:kern w:val="2"/>
          <w:sz w:val="32"/>
          <w:szCs w:val="32"/>
          <w:lang w:val="en-US" w:eastAsia="zh-CN"/>
        </w:rPr>
        <w:t>实际支出</w:t>
      </w:r>
      <w:r>
        <w:rPr>
          <w:rFonts w:hint="eastAsia" w:ascii="Times New Roman" w:hAnsi="Times New Roman" w:eastAsia="仿宋" w:cs="仿宋"/>
          <w:kern w:val="2"/>
          <w:sz w:val="32"/>
          <w:szCs w:val="32"/>
          <w:lang w:val="en-US" w:eastAsia="zh-CN"/>
        </w:rPr>
        <w:t>9.53万元</w:t>
      </w:r>
      <w:r>
        <w:rPr>
          <w:rFonts w:hint="default" w:ascii="Times New Roman" w:hAnsi="Times New Roman" w:eastAsia="仿宋" w:cs="Times New Roman Regular"/>
          <w:kern w:val="2"/>
          <w:sz w:val="32"/>
          <w:szCs w:val="32"/>
        </w:rPr>
        <w:t>，</w:t>
      </w:r>
      <w:r>
        <w:rPr>
          <w:rFonts w:hint="eastAsia" w:ascii="Times New Roman" w:hAnsi="Times New Roman" w:eastAsia="仿宋" w:cs="Times New Roman Regular"/>
          <w:kern w:val="2"/>
          <w:sz w:val="32"/>
          <w:szCs w:val="32"/>
          <w:lang w:val="en-US" w:eastAsia="zh-CN"/>
        </w:rPr>
        <w:t>主要因</w:t>
      </w:r>
      <w:r>
        <w:rPr>
          <w:rFonts w:hint="eastAsia" w:ascii="Times New Roman" w:hAnsi="Times New Roman" w:eastAsia="仿宋_GB2312" w:cs="Times New Roman"/>
          <w:color w:val="000000"/>
          <w:sz w:val="32"/>
          <w:szCs w:val="32"/>
          <w:lang w:eastAsia="zh-CN"/>
        </w:rPr>
        <w:t>与网络评论队伍人才库建设共同进行招投标，新媒体协会以26.38万元中标，故节省资金。</w:t>
      </w:r>
      <w:r>
        <w:rPr>
          <w:rFonts w:ascii="Times New Roman" w:hAnsi="Times New Roman" w:eastAsia="仿宋" w:cs="仿宋"/>
          <w:sz w:val="32"/>
        </w:rPr>
        <w:t>高品质</w:t>
      </w:r>
      <w:r>
        <w:rPr>
          <w:rFonts w:hint="eastAsia" w:ascii="Times New Roman" w:hAnsi="Times New Roman" w:eastAsia="仿宋" w:cs="仿宋"/>
          <w:sz w:val="32"/>
          <w:lang w:eastAsia="zh-CN"/>
        </w:rPr>
        <w:t>网络评论</w:t>
      </w:r>
      <w:r>
        <w:rPr>
          <w:rFonts w:ascii="Times New Roman" w:hAnsi="Times New Roman" w:eastAsia="仿宋" w:cs="仿宋"/>
          <w:sz w:val="32"/>
        </w:rPr>
        <w:t>文章策采编校费用</w:t>
      </w:r>
      <w:r>
        <w:rPr>
          <w:rFonts w:hint="eastAsia" w:ascii="Times New Roman" w:hAnsi="Times New Roman" w:eastAsia="仿宋" w:cs="Times New Roman Regular"/>
          <w:kern w:val="2"/>
          <w:sz w:val="32"/>
          <w:szCs w:val="32"/>
          <w:lang w:val="en-US" w:eastAsia="zh-CN"/>
        </w:rPr>
        <w:t>预算为</w:t>
      </w:r>
      <w:r>
        <w:rPr>
          <w:rFonts w:hint="eastAsia" w:ascii="Times New Roman" w:hAnsi="Times New Roman" w:eastAsia="仿宋" w:cs="仿宋"/>
          <w:kern w:val="2"/>
          <w:sz w:val="32"/>
          <w:szCs w:val="32"/>
        </w:rPr>
        <w:t>6</w:t>
      </w:r>
      <w:r>
        <w:rPr>
          <w:rFonts w:hint="eastAsia" w:ascii="Times New Roman" w:hAnsi="Times New Roman" w:eastAsia="仿宋" w:cs="仿宋"/>
          <w:kern w:val="2"/>
          <w:sz w:val="32"/>
          <w:szCs w:val="32"/>
          <w:lang w:val="en-US" w:eastAsia="zh-CN"/>
        </w:rPr>
        <w:t>万元</w:t>
      </w:r>
      <w:r>
        <w:rPr>
          <w:rFonts w:hint="default" w:ascii="Times New Roman" w:hAnsi="Times New Roman" w:eastAsia="仿宋" w:cs="Times New Roman Regular"/>
          <w:kern w:val="2"/>
          <w:sz w:val="32"/>
          <w:szCs w:val="32"/>
        </w:rPr>
        <w:t>，</w:t>
      </w:r>
      <w:r>
        <w:rPr>
          <w:rFonts w:hint="eastAsia" w:ascii="Times New Roman" w:hAnsi="Times New Roman" w:eastAsia="仿宋" w:cs="Times New Roman Regular"/>
          <w:kern w:val="2"/>
          <w:sz w:val="32"/>
          <w:szCs w:val="32"/>
          <w:lang w:val="en-US" w:eastAsia="zh-CN"/>
        </w:rPr>
        <w:t>实际支出</w:t>
      </w:r>
      <w:r>
        <w:rPr>
          <w:rFonts w:hint="eastAsia" w:ascii="Times New Roman" w:hAnsi="Times New Roman" w:eastAsia="仿宋" w:cs="仿宋"/>
          <w:kern w:val="2"/>
          <w:sz w:val="32"/>
          <w:szCs w:val="32"/>
          <w:lang w:val="en-US" w:eastAsia="zh-CN"/>
        </w:rPr>
        <w:t>8.42万元</w:t>
      </w:r>
      <w:r>
        <w:rPr>
          <w:rFonts w:hint="default" w:ascii="Times New Roman" w:hAnsi="Times New Roman" w:eastAsia="仿宋" w:cs="Times New Roman Regular"/>
          <w:kern w:val="2"/>
          <w:sz w:val="32"/>
          <w:szCs w:val="32"/>
        </w:rPr>
        <w:t>，</w:t>
      </w:r>
      <w:r>
        <w:rPr>
          <w:rFonts w:hint="eastAsia" w:ascii="Times New Roman" w:hAnsi="Times New Roman" w:eastAsia="仿宋" w:cs="Times New Roman Regular"/>
          <w:kern w:val="2"/>
          <w:sz w:val="32"/>
          <w:szCs w:val="32"/>
          <w:lang w:val="en-US" w:eastAsia="zh-CN"/>
        </w:rPr>
        <w:t>主要因</w:t>
      </w:r>
      <w:r>
        <w:rPr>
          <w:rFonts w:hint="eastAsia" w:ascii="Times New Roman" w:hAnsi="Times New Roman" w:eastAsia="仿宋_GB2312" w:cs="Times New Roman"/>
          <w:color w:val="000000"/>
          <w:sz w:val="32"/>
          <w:szCs w:val="32"/>
          <w:lang w:eastAsia="zh-CN"/>
        </w:rPr>
        <w:t>收到较多高质量文章投稿，故增加费用，进行了调剂。</w:t>
      </w:r>
    </w:p>
    <w:p>
      <w:pPr>
        <w:pStyle w:val="31"/>
        <w:keepNext w:val="0"/>
        <w:keepLines w:val="0"/>
        <w:pageBreakBefore w:val="0"/>
        <w:widowControl/>
        <w:kinsoku/>
        <w:wordWrap/>
        <w:overflowPunct/>
        <w:topLinePunct w:val="0"/>
        <w:bidi w:val="0"/>
        <w:adjustRightInd/>
        <w:snapToGrid/>
        <w:spacing w:line="600" w:lineRule="exact"/>
        <w:ind w:firstLine="640" w:firstLineChars="200"/>
        <w:jc w:val="left"/>
        <w:textAlignment w:val="auto"/>
        <w:rPr>
          <w:rFonts w:hint="eastAsia" w:ascii="Times New Roman" w:hAnsi="Times New Roman" w:eastAsia="仿宋" w:cs="Times New Roman Regular"/>
          <w:kern w:val="2"/>
          <w:sz w:val="32"/>
          <w:szCs w:val="32"/>
          <w:lang w:val="en-US" w:eastAsia="zh-CN"/>
        </w:rPr>
      </w:pPr>
      <w:r>
        <w:rPr>
          <w:rFonts w:hint="eastAsia" w:ascii="Times New Roman" w:hAnsi="Times New Roman" w:eastAsia="FangSong_GB2312" w:cs="FangSong_GB2312"/>
          <w:kern w:val="0"/>
          <w:sz w:val="32"/>
          <w:szCs w:val="32"/>
          <w:lang w:val="en-US" w:eastAsia="zh-CN"/>
        </w:rPr>
        <w:t>10.信创</w:t>
      </w:r>
      <w:r>
        <w:rPr>
          <w:rFonts w:hint="eastAsia" w:ascii="Times New Roman" w:hAnsi="Times New Roman" w:eastAsia="FangSong_GB2312" w:cs="FangSong_GB2312"/>
          <w:kern w:val="0"/>
          <w:sz w:val="32"/>
          <w:szCs w:val="32"/>
          <w:lang w:eastAsia="en-US"/>
        </w:rPr>
        <w:t>项目自评综述：根据年初设定的绩效目标，项目自评得分</w:t>
      </w:r>
      <w:r>
        <w:rPr>
          <w:rFonts w:hint="eastAsia" w:ascii="Times New Roman" w:hAnsi="Times New Roman" w:eastAsia="FangSong_GB2312" w:cs="FangSong_GB2312"/>
          <w:kern w:val="0"/>
          <w:sz w:val="32"/>
          <w:szCs w:val="32"/>
          <w:u w:val="single"/>
          <w:lang w:eastAsia="en-US"/>
        </w:rPr>
        <w:t>9</w:t>
      </w:r>
      <w:r>
        <w:rPr>
          <w:rFonts w:hint="eastAsia" w:ascii="Times New Roman" w:hAnsi="Times New Roman" w:eastAsia="FangSong_GB2312" w:cs="FangSong_GB2312"/>
          <w:kern w:val="0"/>
          <w:sz w:val="32"/>
          <w:szCs w:val="32"/>
          <w:u w:val="single"/>
          <w:lang w:val="en-US" w:eastAsia="zh-CN"/>
        </w:rPr>
        <w:t>8</w:t>
      </w:r>
      <w:r>
        <w:rPr>
          <w:rFonts w:hint="eastAsia" w:ascii="Times New Roman" w:hAnsi="Times New Roman" w:eastAsia="FangSong_GB2312" w:cs="FangSong_GB2312"/>
          <w:kern w:val="0"/>
          <w:sz w:val="32"/>
          <w:szCs w:val="32"/>
          <w:lang w:eastAsia="en-US"/>
        </w:rPr>
        <w:t>分。全年预算数为</w:t>
      </w:r>
      <w:r>
        <w:rPr>
          <w:rFonts w:hint="eastAsia" w:ascii="Times New Roman" w:hAnsi="Times New Roman" w:eastAsia="仿宋" w:cs="仿宋"/>
          <w:kern w:val="2"/>
          <w:sz w:val="32"/>
          <w:szCs w:val="32"/>
          <w:u w:val="single"/>
          <w:lang w:val="en-US" w:eastAsia="zh-CN"/>
        </w:rPr>
        <w:t>15</w:t>
      </w:r>
      <w:r>
        <w:rPr>
          <w:rFonts w:hint="eastAsia" w:ascii="Times New Roman" w:hAnsi="Times New Roman" w:eastAsia="FangSong_GB2312" w:cs="FangSong_GB2312"/>
          <w:kern w:val="0"/>
          <w:sz w:val="32"/>
          <w:szCs w:val="32"/>
          <w:lang w:eastAsia="en-US"/>
        </w:rPr>
        <w:t>万元，执行数为</w:t>
      </w:r>
      <w:r>
        <w:rPr>
          <w:rFonts w:hint="eastAsia" w:ascii="Times New Roman" w:hAnsi="Times New Roman" w:eastAsia="仿宋" w:cs="仿宋"/>
          <w:kern w:val="2"/>
          <w:sz w:val="32"/>
          <w:szCs w:val="32"/>
          <w:u w:val="single"/>
          <w:lang w:val="en-US" w:eastAsia="zh-CN"/>
        </w:rPr>
        <w:t>15</w:t>
      </w:r>
      <w:r>
        <w:rPr>
          <w:rFonts w:hint="eastAsia" w:ascii="Times New Roman" w:hAnsi="Times New Roman" w:eastAsia="FangSong_GB2312" w:cs="FangSong_GB2312"/>
          <w:kern w:val="0"/>
          <w:sz w:val="32"/>
          <w:szCs w:val="32"/>
          <w:lang w:eastAsia="en-US"/>
        </w:rPr>
        <w:t>万元，完成预算的</w:t>
      </w:r>
      <w:r>
        <w:rPr>
          <w:rFonts w:hint="eastAsia" w:ascii="Times New Roman" w:hAnsi="Times New Roman" w:eastAsia="FangSong_GB2312" w:cs="FangSong_GB2312"/>
          <w:kern w:val="0"/>
          <w:sz w:val="32"/>
          <w:szCs w:val="32"/>
          <w:lang w:val="en-US" w:eastAsia="zh-CN"/>
        </w:rPr>
        <w:t>100</w:t>
      </w:r>
      <w:r>
        <w:rPr>
          <w:rFonts w:hint="eastAsia" w:ascii="Times New Roman" w:hAnsi="Times New Roman" w:eastAsia="FangSong_GB2312" w:cs="FangSong_GB2312"/>
          <w:kern w:val="0"/>
          <w:sz w:val="32"/>
          <w:szCs w:val="32"/>
          <w:lang w:eastAsia="en-US"/>
        </w:rPr>
        <w:t>%。项目绩效目标完成情况：</w:t>
      </w:r>
      <w:r>
        <w:rPr>
          <w:rFonts w:hint="eastAsia" w:ascii="Times New Roman" w:hAnsi="Times New Roman" w:eastAsia="仿宋" w:cs="Times New Roman Regular"/>
          <w:kern w:val="2"/>
          <w:sz w:val="32"/>
          <w:szCs w:val="32"/>
          <w:lang w:val="en-US" w:eastAsia="zh-CN"/>
        </w:rPr>
        <w:t>本年度已开展应用系统适配、迁移1个。</w:t>
      </w:r>
      <w:r>
        <w:rPr>
          <w:rFonts w:hint="eastAsia" w:ascii="Times New Roman" w:hAnsi="Times New Roman" w:eastAsia="FangSong_GB2312" w:cs="FangSong_GB2312"/>
          <w:kern w:val="0"/>
          <w:sz w:val="32"/>
          <w:szCs w:val="32"/>
          <w:lang w:eastAsia="en-US"/>
        </w:rPr>
        <w:t>发现的主要问题及原因：</w:t>
      </w:r>
      <w:r>
        <w:rPr>
          <w:rFonts w:ascii="Times New Roman" w:hAnsi="Times New Roman" w:eastAsia="仿宋" w:cs="仿宋"/>
          <w:sz w:val="32"/>
        </w:rPr>
        <w:t>中央预算内投资支付率(%)，</w:t>
      </w:r>
      <w:r>
        <w:rPr>
          <w:rFonts w:hint="default" w:ascii="Times New Roman" w:hAnsi="Times New Roman" w:eastAsia="仿宋" w:cs="Times New Roman Regular"/>
          <w:kern w:val="2"/>
          <w:sz w:val="32"/>
          <w:szCs w:val="32"/>
        </w:rPr>
        <w:t>目标值</w:t>
      </w:r>
      <w:r>
        <w:rPr>
          <w:rFonts w:hint="eastAsia" w:ascii="Times New Roman" w:hAnsi="Times New Roman" w:eastAsia="仿宋" w:cs="仿宋"/>
          <w:kern w:val="2"/>
          <w:sz w:val="32"/>
          <w:szCs w:val="32"/>
        </w:rPr>
        <w:t>65</w:t>
      </w:r>
      <w:r>
        <w:rPr>
          <w:rFonts w:hint="default" w:ascii="Times New Roman" w:hAnsi="Times New Roman" w:eastAsia="仿宋" w:cs="Times New Roman Regular"/>
          <w:kern w:val="2"/>
          <w:sz w:val="32"/>
          <w:szCs w:val="32"/>
        </w:rPr>
        <w:t>，完成值</w:t>
      </w:r>
      <w:r>
        <w:rPr>
          <w:rFonts w:hint="eastAsia" w:ascii="Times New Roman" w:hAnsi="Times New Roman" w:eastAsia="仿宋" w:cs="Times New Roman Regular"/>
          <w:kern w:val="2"/>
          <w:sz w:val="32"/>
          <w:szCs w:val="32"/>
          <w:lang w:val="en-US" w:eastAsia="zh-CN"/>
        </w:rPr>
        <w:t>0，偏差原因：2025年度我单位未收到中央预算。绩效指标为中央下发故填写该项。</w:t>
      </w:r>
    </w:p>
    <w:p>
      <w:pPr>
        <w:pStyle w:val="31"/>
        <w:keepNext w:val="0"/>
        <w:keepLines w:val="0"/>
        <w:pageBreakBefore w:val="0"/>
        <w:widowControl/>
        <w:kinsoku/>
        <w:wordWrap/>
        <w:overflowPunct/>
        <w:topLinePunct w:val="0"/>
        <w:autoSpaceDE/>
        <w:autoSpaceDN/>
        <w:bidi w:val="0"/>
        <w:adjustRightInd/>
        <w:snapToGrid/>
        <w:spacing w:line="600" w:lineRule="exact"/>
        <w:ind w:firstLine="0" w:firstLineChars="0"/>
        <w:jc w:val="left"/>
        <w:textAlignment w:val="auto"/>
        <w:rPr>
          <w:rFonts w:ascii="Times New Roman" w:hAnsi="Times New Roman" w:eastAsia="楷体" w:cs="楷体"/>
          <w:b/>
          <w:bCs/>
          <w:kern w:val="0"/>
          <w:sz w:val="32"/>
          <w:szCs w:val="32"/>
        </w:rPr>
      </w:pP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5211445"/>
            <wp:effectExtent l="0" t="0" r="10160" b="635"/>
            <wp:docPr id="26" name="图片 26" descr="《实践》党刊业务补助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实践》党刊业务补助_Sheet0"/>
                    <pic:cNvPicPr>
                      <a:picLocks noChangeAspect="true"/>
                    </pic:cNvPicPr>
                  </pic:nvPicPr>
                  <pic:blipFill>
                    <a:blip r:embed="rId10"/>
                    <a:stretch>
                      <a:fillRect/>
                    </a:stretch>
                  </pic:blipFill>
                  <pic:spPr>
                    <a:xfrm>
                      <a:off x="0" y="0"/>
                      <a:ext cx="5596255" cy="5211445"/>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617210" cy="5245735"/>
            <wp:effectExtent l="0" t="0" r="6350" b="635"/>
            <wp:docPr id="27" name="图片 27" descr="少数民族民族刊物业务补助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少数民族民族刊物业务补助_Sheet0"/>
                    <pic:cNvPicPr>
                      <a:picLocks noChangeAspect="true"/>
                    </pic:cNvPicPr>
                  </pic:nvPicPr>
                  <pic:blipFill>
                    <a:blip r:embed="rId11"/>
                    <a:stretch>
                      <a:fillRect/>
                    </a:stretch>
                  </pic:blipFill>
                  <pic:spPr>
                    <a:xfrm>
                      <a:off x="0" y="0"/>
                      <a:ext cx="5617210" cy="5245735"/>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5448300"/>
            <wp:effectExtent l="0" t="0" r="10160" b="3810"/>
            <wp:docPr id="28" name="图片 28" descr="“学习强国”内蒙古学习平台运营经费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学习强国”内蒙古学习平台运营经费_Sheet0"/>
                    <pic:cNvPicPr>
                      <a:picLocks noChangeAspect="true"/>
                    </pic:cNvPicPr>
                  </pic:nvPicPr>
                  <pic:blipFill>
                    <a:blip r:embed="rId12"/>
                    <a:stretch>
                      <a:fillRect/>
                    </a:stretch>
                  </pic:blipFill>
                  <pic:spPr>
                    <a:xfrm>
                      <a:off x="0" y="0"/>
                      <a:ext cx="5596255" cy="5448300"/>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6173470"/>
            <wp:effectExtent l="0" t="0" r="10160" b="15875"/>
            <wp:docPr id="29" name="图片 29" descr="《中心组学习》期刊办刊项目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中心组学习》期刊办刊项目_Sheet0"/>
                    <pic:cNvPicPr>
                      <a:picLocks noChangeAspect="true"/>
                    </pic:cNvPicPr>
                  </pic:nvPicPr>
                  <pic:blipFill>
                    <a:blip r:embed="rId13"/>
                    <a:stretch>
                      <a:fillRect/>
                    </a:stretch>
                  </pic:blipFill>
                  <pic:spPr>
                    <a:xfrm>
                      <a:off x="0" y="0"/>
                      <a:ext cx="5596255" cy="6173470"/>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615940" cy="6427470"/>
            <wp:effectExtent l="0" t="0" r="7620" b="1905"/>
            <wp:docPr id="30" name="图片 30" descr="北疆文化研究工程——北疆文化的传播效果研究自评表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descr="北疆文化研究工程——北疆文化的传播效果研究自评表_Sheet0"/>
                    <pic:cNvPicPr>
                      <a:picLocks noChangeAspect="true"/>
                    </pic:cNvPicPr>
                  </pic:nvPicPr>
                  <pic:blipFill>
                    <a:blip r:embed="rId14"/>
                    <a:stretch>
                      <a:fillRect/>
                    </a:stretch>
                  </pic:blipFill>
                  <pic:spPr>
                    <a:xfrm>
                      <a:off x="0" y="0"/>
                      <a:ext cx="5615940" cy="6427470"/>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6765925"/>
            <wp:effectExtent l="0" t="0" r="10160" b="6350"/>
            <wp:docPr id="31" name="图片 31" descr="“万里脉动在北疆——长城与黄河在内蒙古五次拥抱”融合宣传活动0318(1)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万里脉动在北疆——长城与黄河在内蒙古五次拥抱”融合宣传活动0318(1)_Sheet0"/>
                    <pic:cNvPicPr>
                      <a:picLocks noChangeAspect="true"/>
                    </pic:cNvPicPr>
                  </pic:nvPicPr>
                  <pic:blipFill>
                    <a:blip r:embed="rId15"/>
                    <a:stretch>
                      <a:fillRect/>
                    </a:stretch>
                  </pic:blipFill>
                  <pic:spPr>
                    <a:xfrm>
                      <a:off x="0" y="0"/>
                      <a:ext cx="5596255" cy="6765925"/>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5252085"/>
            <wp:effectExtent l="0" t="0" r="10160" b="11430"/>
            <wp:docPr id="32" name="图片 32" descr="厅级干部周转房租赁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厅级干部周转房租赁_Sheet0"/>
                    <pic:cNvPicPr>
                      <a:picLocks noChangeAspect="true"/>
                    </pic:cNvPicPr>
                  </pic:nvPicPr>
                  <pic:blipFill>
                    <a:blip r:embed="rId16"/>
                    <a:stretch>
                      <a:fillRect/>
                    </a:stretch>
                  </pic:blipFill>
                  <pic:spPr>
                    <a:xfrm>
                      <a:off x="0" y="0"/>
                      <a:ext cx="5596255" cy="5252085"/>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5211445"/>
            <wp:effectExtent l="0" t="0" r="10160" b="635"/>
            <wp:docPr id="33" name="图片 33" descr="《内蒙古宣传思想文化工作》和《内蒙古宣传》期刊办刊项目(1)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descr="《内蒙古宣传思想文化工作》和《内蒙古宣传》期刊办刊项目(1)_Sheet0"/>
                    <pic:cNvPicPr>
                      <a:picLocks noChangeAspect="true"/>
                    </pic:cNvPicPr>
                  </pic:nvPicPr>
                  <pic:blipFill>
                    <a:blip r:embed="rId17"/>
                    <a:stretch>
                      <a:fillRect/>
                    </a:stretch>
                  </pic:blipFill>
                  <pic:spPr>
                    <a:xfrm>
                      <a:off x="0" y="0"/>
                      <a:ext cx="5596255" cy="5211445"/>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7816850"/>
            <wp:effectExtent l="0" t="0" r="10160" b="1270"/>
            <wp:docPr id="34" name="图片 34" descr="创新“大评论”生产传播机制打造主流舆论引导“轻骑兵”项目绩效自评表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descr="创新“大评论”生产传播机制打造主流舆论引导“轻骑兵”项目绩效自评表_Sheet0"/>
                    <pic:cNvPicPr>
                      <a:picLocks noChangeAspect="true"/>
                    </pic:cNvPicPr>
                  </pic:nvPicPr>
                  <pic:blipFill>
                    <a:blip r:embed="rId18"/>
                    <a:stretch>
                      <a:fillRect/>
                    </a:stretch>
                  </pic:blipFill>
                  <pic:spPr>
                    <a:xfrm>
                      <a:off x="0" y="0"/>
                      <a:ext cx="5596255" cy="7816850"/>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r>
        <w:rPr>
          <w:rFonts w:hint="eastAsia" w:ascii="Times New Roman" w:hAnsi="Times New Roman" w:eastAsia="楷体" w:cs="楷体"/>
          <w:b/>
          <w:bCs/>
          <w:kern w:val="0"/>
          <w:sz w:val="32"/>
          <w:szCs w:val="32"/>
          <w:lang w:eastAsia="zh-CN"/>
        </w:rPr>
        <w:drawing>
          <wp:inline distT="0" distB="0" distL="114300" distR="114300">
            <wp:extent cx="5596255" cy="5763260"/>
            <wp:effectExtent l="0" t="0" r="10160" b="14605"/>
            <wp:docPr id="35" name="图片 35" descr="信创工作项目绩效目标表_Sheet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信创工作项目绩效目标表_Sheet0"/>
                    <pic:cNvPicPr>
                      <a:picLocks noChangeAspect="true"/>
                    </pic:cNvPicPr>
                  </pic:nvPicPr>
                  <pic:blipFill>
                    <a:blip r:embed="rId19"/>
                    <a:stretch>
                      <a:fillRect/>
                    </a:stretch>
                  </pic:blipFill>
                  <pic:spPr>
                    <a:xfrm>
                      <a:off x="0" y="0"/>
                      <a:ext cx="5596255" cy="5763260"/>
                    </a:xfrm>
                    <a:prstGeom prst="rect">
                      <a:avLst/>
                    </a:prstGeom>
                  </pic:spPr>
                </pic:pic>
              </a:graphicData>
            </a:graphic>
          </wp:inline>
        </w:drawing>
      </w: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p>
    <w:p>
      <w:pPr>
        <w:pStyle w:val="31"/>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楷体" w:cs="楷体"/>
          <w:b/>
          <w:bCs/>
          <w:kern w:val="0"/>
          <w:sz w:val="32"/>
          <w:szCs w:val="32"/>
          <w:lang w:eastAsia="zh-CN"/>
        </w:rPr>
      </w:pP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hint="eastAsia" w:ascii="Times New Roman" w:hAnsi="Times New Roman" w:eastAsia="楷体" w:cs="Times New Roman"/>
          <w:kern w:val="0"/>
          <w:sz w:val="24"/>
          <w:lang w:eastAsia="zh-CN"/>
        </w:rPr>
      </w:pPr>
      <w:r>
        <w:rPr>
          <w:rFonts w:ascii="Times New Roman" w:hAnsi="Times New Roman" w:eastAsia="楷体" w:cs="楷体"/>
          <w:b/>
          <w:bCs/>
          <w:kern w:val="0"/>
          <w:sz w:val="32"/>
          <w:szCs w:val="32"/>
        </w:rPr>
        <w:t>（三）部门项目绩效评价结果</w:t>
      </w:r>
      <w:r>
        <w:rPr>
          <w:rFonts w:hint="eastAsia" w:ascii="Times New Roman" w:hAnsi="Times New Roman" w:eastAsia="楷体" w:cs="楷体"/>
          <w:b/>
          <w:bCs/>
          <w:kern w:val="0"/>
          <w:sz w:val="32"/>
          <w:szCs w:val="32"/>
          <w:lang w:eastAsia="zh-CN"/>
        </w:rPr>
        <w:t>。</w:t>
      </w:r>
    </w:p>
    <w:p>
      <w:pPr>
        <w:pStyle w:val="31"/>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2312"/>
          <w:highlight w:val="none"/>
          <w:lang w:val="en-US"/>
        </w:rPr>
      </w:pPr>
      <w:r>
        <w:rPr>
          <w:rFonts w:ascii="Times New Roman" w:hAnsi="Times New Roman" w:eastAsia="FangSong_GB2312" w:cs="FangSong_GB2312"/>
          <w:color w:val="000000" w:themeColor="text1"/>
          <w:kern w:val="0"/>
          <w:sz w:val="32"/>
          <w:szCs w:val="32"/>
          <w14:textFill>
            <w14:solidFill>
              <w14:schemeClr w14:val="tx1"/>
            </w14:solidFill>
          </w14:textFill>
        </w:rPr>
        <w:t>以</w:t>
      </w:r>
      <w:r>
        <w:rPr>
          <w:rFonts w:hint="eastAsia" w:ascii="Times New Roman" w:hAnsi="Times New Roman" w:eastAsia="FangSong_GB2312" w:cs="FangSong_GB2312"/>
          <w:color w:val="000000" w:themeColor="text1"/>
          <w:kern w:val="0"/>
          <w:sz w:val="32"/>
          <w:szCs w:val="32"/>
          <w:lang w:eastAsia="en-US"/>
          <w14:textFill>
            <w14:solidFill>
              <w14:schemeClr w14:val="tx1"/>
            </w14:solidFill>
          </w14:textFill>
        </w:rPr>
        <w:t>少数民族业务刊物补助项目</w:t>
      </w:r>
      <w:r>
        <w:rPr>
          <w:rFonts w:ascii="Times New Roman" w:hAnsi="Times New Roman" w:eastAsia="FangSong_GB2312" w:cs="FangSong_GB2312"/>
          <w:color w:val="000000" w:themeColor="text1"/>
          <w:kern w:val="0"/>
          <w:sz w:val="32"/>
          <w:szCs w:val="32"/>
          <w14:textFill>
            <w14:solidFill>
              <w14:schemeClr w14:val="tx1"/>
            </w14:solidFill>
          </w14:textFill>
        </w:rPr>
        <w:t>项目为例，该项目绩效评价综合得分为</w:t>
      </w:r>
      <w:r>
        <w:rPr>
          <w:rFonts w:hint="eastAsia" w:ascii="Times New Roman" w:hAnsi="Times New Roman" w:eastAsia="宋体"/>
          <w:color w:val="000000" w:themeColor="text1"/>
          <w:kern w:val="0"/>
          <w:sz w:val="32"/>
          <w:szCs w:val="32"/>
          <w:u w:val="single" w:color="000AFF"/>
          <w:lang w:val="en-US" w:eastAsia="zh-CN"/>
          <w14:textFill>
            <w14:solidFill>
              <w14:schemeClr w14:val="tx1"/>
            </w14:solidFill>
          </w14:textFill>
        </w:rPr>
        <w:t>97</w:t>
      </w:r>
      <w:r>
        <w:rPr>
          <w:rFonts w:ascii="Times New Roman" w:hAnsi="Times New Roman" w:eastAsia="FangSong_GB2312" w:cs="FangSong_GB2312"/>
          <w:color w:val="000000" w:themeColor="text1"/>
          <w:kern w:val="0"/>
          <w:sz w:val="32"/>
          <w:szCs w:val="32"/>
          <w14:textFill>
            <w14:solidFill>
              <w14:schemeClr w14:val="tx1"/>
            </w14:solidFill>
          </w14:textFill>
        </w:rPr>
        <w:t>分，绩效评价结果为“优”。部门项目绩效评价得分情况详见部门具体绩效评价结果</w:t>
      </w:r>
      <w:r>
        <w:rPr>
          <w:rFonts w:ascii="Times New Roman" w:hAnsi="Times New Roman" w:eastAsia="FangSong_GB2312" w:cs="FangSong_GB2312"/>
          <w:kern w:val="0"/>
          <w:sz w:val="32"/>
          <w:szCs w:val="32"/>
        </w:rPr>
        <w:t>。</w:t>
      </w:r>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0" w:firstLineChars="0"/>
        <w:jc w:val="center"/>
        <w:textAlignment w:val="auto"/>
        <w:rPr>
          <w:rFonts w:hint="eastAsia" w:ascii="Times New Roman" w:hAnsi="Times New Roman" w:eastAsia="方正仿宋_GB2312"/>
          <w:b/>
          <w:bCs/>
          <w:sz w:val="36"/>
          <w:szCs w:val="36"/>
          <w:highlight w:val="none"/>
          <w:lang w:val="en-US" w:eastAsia="zh-CN"/>
        </w:rPr>
      </w:pPr>
      <w:r>
        <w:rPr>
          <w:rFonts w:hint="eastAsia" w:ascii="Times New Roman" w:hAnsi="Times New Roman" w:eastAsia="方正仿宋_GB2312"/>
          <w:b/>
          <w:bCs/>
          <w:sz w:val="36"/>
          <w:szCs w:val="36"/>
          <w:highlight w:val="none"/>
          <w:lang w:val="en-US" w:eastAsia="zh-CN"/>
        </w:rPr>
        <w:t>2025年内蒙古实践杂志社</w:t>
      </w:r>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0" w:firstLineChars="0"/>
        <w:jc w:val="center"/>
        <w:textAlignment w:val="auto"/>
        <w:rPr>
          <w:rFonts w:ascii="Times New Roman" w:hAnsi="Times New Roman" w:eastAsia="方正仿宋_GB2312"/>
          <w:b/>
          <w:bCs/>
          <w:sz w:val="36"/>
          <w:szCs w:val="36"/>
          <w:highlight w:val="none"/>
          <w:lang w:val="en-US"/>
        </w:rPr>
      </w:pPr>
      <w:bookmarkStart w:id="1" w:name="_Toc3146"/>
      <w:bookmarkStart w:id="2" w:name="_Toc18535"/>
      <w:bookmarkStart w:id="3" w:name="_Toc17284"/>
      <w:bookmarkStart w:id="4" w:name="_Toc6042"/>
      <w:r>
        <w:rPr>
          <w:rFonts w:hint="eastAsia" w:ascii="Times New Roman" w:hAnsi="Times New Roman" w:eastAsia="方正仿宋_GB2312"/>
          <w:b/>
          <w:bCs/>
          <w:sz w:val="36"/>
          <w:szCs w:val="36"/>
          <w:highlight w:val="none"/>
          <w:lang w:val="en-US" w:eastAsia="zh-CN"/>
        </w:rPr>
        <w:t>少数民族刊物业务补助项目项目</w:t>
      </w:r>
      <w:r>
        <w:rPr>
          <w:rFonts w:hint="eastAsia" w:ascii="Times New Roman" w:hAnsi="Times New Roman" w:eastAsia="方正仿宋_GB2312"/>
          <w:b/>
          <w:bCs/>
          <w:sz w:val="36"/>
          <w:szCs w:val="36"/>
          <w:highlight w:val="none"/>
          <w:lang w:val="en-US"/>
        </w:rPr>
        <w:t>绩效评价报告</w:t>
      </w:r>
      <w:bookmarkEnd w:id="1"/>
      <w:bookmarkEnd w:id="2"/>
      <w:bookmarkEnd w:id="3"/>
      <w:bookmarkEnd w:id="4"/>
    </w:p>
    <w:p>
      <w:pPr>
        <w:keepNext w:val="0"/>
        <w:keepLines w:val="0"/>
        <w:pageBreakBefore w:val="0"/>
        <w:kinsoku/>
        <w:wordWrap/>
        <w:overflowPunct/>
        <w:topLinePunct w:val="0"/>
        <w:bidi w:val="0"/>
        <w:adjustRightInd/>
        <w:snapToGrid/>
        <w:spacing w:line="600" w:lineRule="exact"/>
        <w:ind w:left="0" w:leftChars="0" w:right="0" w:firstLine="580" w:firstLineChars="200"/>
        <w:jc w:val="both"/>
        <w:textAlignment w:val="auto"/>
        <w:rPr>
          <w:rFonts w:hint="eastAsia" w:ascii="Times New Roman" w:hAnsi="Times New Roman" w:eastAsia="方正仿宋_GB2312" w:cs="仿宋"/>
          <w:spacing w:val="-5"/>
          <w:sz w:val="30"/>
          <w:szCs w:val="30"/>
          <w:lang w:val="en-US" w:eastAsia="zh-CN"/>
        </w:rPr>
      </w:pPr>
      <w:r>
        <w:rPr>
          <w:rFonts w:hint="eastAsia" w:ascii="Times New Roman" w:hAnsi="Times New Roman" w:eastAsia="方正仿宋_GB2312" w:cs="仿宋"/>
          <w:spacing w:val="-5"/>
          <w:sz w:val="30"/>
          <w:szCs w:val="30"/>
          <w:lang w:val="en-US" w:eastAsia="zh-CN"/>
        </w:rPr>
        <w:t>为深入贯彻落实《内蒙古自治区关于全面实施预算绩效管理的实施意见》（内财监〔2019〕1343号）和《内蒙古自治区项目支出绩效评价管理办法》（内政办发〔2021〕5号）的有关要求，强化预算绩效管理主体责任，提高财政资金使用效益，根据《内蒙古自治区财政厅关于开展2025年度自治区本级单位绩效自评和部门评价工作的通知》（内财绩效〔2026〕17号）相应安排，实践杂志社对少数民族刊物业务补助项目开展绩效评价。</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outlineLvl w:val="0"/>
        <w:rPr>
          <w:rFonts w:ascii="Times New Roman" w:hAnsi="Times New Roman" w:eastAsia="方正仿宋_GB2312"/>
          <w:b/>
          <w:bCs/>
          <w:sz w:val="32"/>
          <w:szCs w:val="32"/>
          <w:highlight w:val="none"/>
          <w:lang w:val="en-US"/>
        </w:rPr>
      </w:pPr>
      <w:bookmarkStart w:id="5" w:name="_Toc7171"/>
      <w:r>
        <w:rPr>
          <w:rFonts w:hint="eastAsia" w:ascii="Times New Roman" w:hAnsi="Times New Roman" w:eastAsia="方正仿宋_GB2312"/>
          <w:b/>
          <w:bCs/>
          <w:sz w:val="32"/>
          <w:szCs w:val="32"/>
          <w:highlight w:val="none"/>
          <w:lang w:val="en-US"/>
        </w:rPr>
        <w:t>一、项目基本情况</w:t>
      </w:r>
      <w:bookmarkEnd w:id="5"/>
    </w:p>
    <w:p>
      <w:pPr>
        <w:pStyle w:val="3"/>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jc w:val="left"/>
        <w:textAlignment w:val="auto"/>
        <w:rPr>
          <w:rFonts w:ascii="Times New Roman" w:hAnsi="Times New Roman" w:eastAsia="方正仿宋_GB2312"/>
          <w:sz w:val="32"/>
          <w:szCs w:val="32"/>
          <w:highlight w:val="none"/>
          <w:lang w:val="en-US"/>
        </w:rPr>
      </w:pPr>
      <w:bookmarkStart w:id="6" w:name="_Toc6005"/>
      <w:r>
        <w:rPr>
          <w:rFonts w:hint="eastAsia" w:ascii="Times New Roman" w:hAnsi="Times New Roman" w:eastAsia="方正仿宋_GB2312"/>
          <w:sz w:val="32"/>
          <w:szCs w:val="32"/>
          <w:highlight w:val="none"/>
          <w:lang w:val="en-US"/>
        </w:rPr>
        <w:t>（一）项目概况</w:t>
      </w:r>
      <w:bookmarkEnd w:id="6"/>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0" w:firstLineChars="200"/>
        <w:textAlignment w:val="auto"/>
        <w:rPr>
          <w:rFonts w:ascii="Times New Roman" w:hAnsi="Times New Roman" w:eastAsia="方正仿宋_GB2312"/>
          <w:b w:val="0"/>
          <w:bCs w:val="0"/>
          <w:sz w:val="32"/>
          <w:szCs w:val="32"/>
          <w:highlight w:val="none"/>
          <w:lang w:val="en-US"/>
        </w:rPr>
      </w:pPr>
      <w:bookmarkStart w:id="7" w:name="_Toc27907"/>
      <w:bookmarkStart w:id="8" w:name="_Toc1663"/>
      <w:bookmarkStart w:id="9" w:name="_Toc31036"/>
      <w:bookmarkStart w:id="10" w:name="_Toc6990"/>
      <w:bookmarkStart w:id="11" w:name="_Toc12082"/>
      <w:bookmarkStart w:id="12" w:name="_Toc18885"/>
      <w:bookmarkStart w:id="13" w:name="_Toc19080"/>
      <w:bookmarkStart w:id="14" w:name="_Toc12532"/>
      <w:bookmarkStart w:id="15" w:name="_Toc13267"/>
      <w:r>
        <w:rPr>
          <w:rFonts w:hint="eastAsia" w:ascii="Times New Roman" w:hAnsi="Times New Roman" w:eastAsia="方正仿宋_GB2312" w:cs="仿宋"/>
          <w:b w:val="0"/>
          <w:bCs w:val="0"/>
          <w:sz w:val="32"/>
          <w:szCs w:val="32"/>
          <w:highlight w:val="none"/>
          <w:lang w:val="en-US"/>
        </w:rPr>
        <w:t>1.</w:t>
      </w:r>
      <w:r>
        <w:rPr>
          <w:rFonts w:hint="eastAsia" w:ascii="Times New Roman" w:hAnsi="Times New Roman" w:eastAsia="方正仿宋_GB2312"/>
          <w:b w:val="0"/>
          <w:bCs w:val="0"/>
          <w:sz w:val="32"/>
          <w:szCs w:val="32"/>
          <w:highlight w:val="none"/>
          <w:lang w:val="en-US"/>
        </w:rPr>
        <w:t>立项背景及目的</w:t>
      </w:r>
      <w:bookmarkEnd w:id="7"/>
      <w:bookmarkEnd w:id="8"/>
      <w:bookmarkEnd w:id="9"/>
      <w:bookmarkEnd w:id="10"/>
      <w:bookmarkEnd w:id="11"/>
      <w:bookmarkEnd w:id="12"/>
      <w:bookmarkEnd w:id="13"/>
      <w:bookmarkEnd w:id="14"/>
      <w:bookmarkEnd w:id="15"/>
    </w:p>
    <w:p>
      <w:pPr>
        <w:keepNext w:val="0"/>
        <w:keepLines w:val="0"/>
        <w:pageBreakBefore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spacing w:val="-5"/>
          <w:sz w:val="30"/>
          <w:szCs w:val="30"/>
          <w:lang w:val="en-US" w:eastAsia="zh-CN"/>
        </w:rPr>
      </w:pPr>
      <w:bookmarkStart w:id="16" w:name="_Toc19057"/>
      <w:bookmarkStart w:id="17" w:name="_Toc19196"/>
      <w:bookmarkStart w:id="18" w:name="_Toc28801"/>
      <w:bookmarkStart w:id="19" w:name="_Toc23066"/>
      <w:bookmarkStart w:id="20" w:name="_Toc7305"/>
      <w:bookmarkStart w:id="21" w:name="_Toc25382"/>
      <w:bookmarkStart w:id="22" w:name="_Toc11514"/>
      <w:bookmarkStart w:id="23" w:name="_Toc1473"/>
      <w:r>
        <w:rPr>
          <w:rFonts w:hint="eastAsia" w:ascii="Times New Roman" w:hAnsi="Times New Roman" w:eastAsia="方正仿宋_GB2312" w:cs="仿宋"/>
          <w:i w:val="0"/>
          <w:caps w:val="0"/>
          <w:color w:val="000000"/>
          <w:spacing w:val="0"/>
          <w:kern w:val="2"/>
          <w:sz w:val="32"/>
          <w:szCs w:val="32"/>
          <w:shd w:val="clear" w:fill="FFFFFF"/>
          <w:lang w:val="en-US" w:eastAsia="zh-CN" w:bidi="ar-SA"/>
        </w:rPr>
        <w:t>《实践》杂志是1</w:t>
      </w:r>
      <w:r>
        <w:rPr>
          <w:rFonts w:hint="eastAsia" w:ascii="Times New Roman" w:hAnsi="Times New Roman" w:eastAsia="方正仿宋_GB2312" w:cs="仿宋"/>
          <w:spacing w:val="-5"/>
          <w:sz w:val="30"/>
          <w:szCs w:val="30"/>
          <w:lang w:val="en-US" w:eastAsia="zh-CN"/>
        </w:rPr>
        <w:t>958年6月，根据党中央关于加强全党理论学习的指示和毛泽东同志关于创办理论刊物的提议，内蒙古自治区党委决定创办理论刊物《实践》杂志。毛泽东同志亲笔为《实践》杂志题写刊名并复信。乌兰夫同志在创刊号上发表《代发刊词》。</w:t>
      </w:r>
    </w:p>
    <w:p>
      <w:pPr>
        <w:keepNext w:val="0"/>
        <w:keepLines w:val="0"/>
        <w:pageBreakBefore w:val="0"/>
        <w:kinsoku/>
        <w:wordWrap/>
        <w:overflowPunct/>
        <w:topLinePunct w:val="0"/>
        <w:bidi w:val="0"/>
        <w:adjustRightInd/>
        <w:snapToGrid/>
        <w:spacing w:line="600" w:lineRule="exact"/>
        <w:ind w:left="0" w:leftChars="0" w:right="0" w:firstLine="580" w:firstLineChars="200"/>
        <w:jc w:val="both"/>
        <w:textAlignment w:val="auto"/>
        <w:rPr>
          <w:rFonts w:hint="eastAsia" w:ascii="Times New Roman" w:hAnsi="Times New Roman" w:eastAsia="方正仿宋_GB2312" w:cs="仿宋"/>
          <w:spacing w:val="-5"/>
          <w:sz w:val="30"/>
          <w:szCs w:val="30"/>
          <w:lang w:val="en-US" w:eastAsia="zh-CN"/>
        </w:rPr>
      </w:pPr>
      <w:r>
        <w:rPr>
          <w:rFonts w:hint="eastAsia" w:ascii="Times New Roman" w:hAnsi="Times New Roman" w:eastAsia="方正仿宋_GB2312" w:cs="仿宋"/>
          <w:spacing w:val="-5"/>
          <w:sz w:val="30"/>
          <w:szCs w:val="30"/>
          <w:lang w:val="en-US" w:eastAsia="zh-CN"/>
        </w:rPr>
        <w:t>创刊67年来，《实践》杂志牢牢把握正确政治方向和舆论导向，忠实履行职责使命，紧跟时代步伐，紧贴中心工作，为促进内蒙古经济社会发展和党的建设作出了重要贡献。</w:t>
      </w:r>
    </w:p>
    <w:p>
      <w:pPr>
        <w:keepNext w:val="0"/>
        <w:keepLines w:val="0"/>
        <w:pageBreakBefore w:val="0"/>
        <w:kinsoku/>
        <w:wordWrap/>
        <w:overflowPunct/>
        <w:topLinePunct w:val="0"/>
        <w:bidi w:val="0"/>
        <w:adjustRightInd/>
        <w:snapToGrid/>
        <w:spacing w:line="600" w:lineRule="exact"/>
        <w:ind w:left="0" w:leftChars="0" w:right="0" w:firstLine="580" w:firstLineChars="200"/>
        <w:jc w:val="both"/>
        <w:textAlignment w:val="auto"/>
        <w:rPr>
          <w:rFonts w:hint="eastAsia" w:ascii="Times New Roman" w:hAnsi="Times New Roman" w:eastAsia="方正仿宋_GB2312" w:cs="仿宋"/>
          <w:spacing w:val="-5"/>
          <w:sz w:val="30"/>
          <w:szCs w:val="30"/>
          <w:lang w:val="en-US" w:eastAsia="zh-CN"/>
        </w:rPr>
      </w:pPr>
      <w:r>
        <w:rPr>
          <w:rFonts w:hint="eastAsia" w:ascii="Times New Roman" w:hAnsi="Times New Roman" w:eastAsia="方正仿宋_GB2312" w:cs="仿宋"/>
          <w:spacing w:val="-5"/>
          <w:sz w:val="30"/>
          <w:szCs w:val="30"/>
          <w:lang w:val="en-US" w:eastAsia="zh-CN"/>
        </w:rPr>
        <w:t>《实践》杂志蒙文版作为自治区唯一的蒙文党刊，充分利用好刊物平台，将党和国家、自治区的理论方针政策及时向蒙古族党员群众进行宣传。2025年围绕中央和自治区重大方针政策，策划推出了一系列接地气的宣传报道产品，为自治区的团结稳定做出了积极贡献，实现了党刊的引导宣传作用。</w:t>
      </w: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0" w:firstLineChars="200"/>
        <w:textAlignment w:val="auto"/>
        <w:rPr>
          <w:rFonts w:ascii="Times New Roman" w:hAnsi="Times New Roman" w:eastAsia="方正仿宋_GB2312"/>
          <w:b w:val="0"/>
          <w:bCs w:val="0"/>
          <w:sz w:val="32"/>
          <w:szCs w:val="32"/>
          <w:highlight w:val="none"/>
          <w:lang w:val="en-US"/>
        </w:rPr>
      </w:pPr>
      <w:bookmarkStart w:id="24" w:name="_Toc8402"/>
      <w:r>
        <w:rPr>
          <w:rFonts w:hint="eastAsia" w:ascii="Times New Roman" w:hAnsi="Times New Roman" w:eastAsia="方正仿宋_GB2312" w:cs="仿宋"/>
          <w:b w:val="0"/>
          <w:bCs w:val="0"/>
          <w:sz w:val="32"/>
          <w:szCs w:val="32"/>
          <w:highlight w:val="none"/>
          <w:lang w:val="en-US"/>
        </w:rPr>
        <w:t>2.</w:t>
      </w:r>
      <w:r>
        <w:rPr>
          <w:rFonts w:hint="eastAsia" w:ascii="Times New Roman" w:hAnsi="Times New Roman" w:eastAsia="方正仿宋_GB2312"/>
          <w:b w:val="0"/>
          <w:bCs w:val="0"/>
          <w:sz w:val="32"/>
          <w:szCs w:val="32"/>
          <w:highlight w:val="none"/>
          <w:lang w:val="en-US"/>
        </w:rPr>
        <w:t>项目</w:t>
      </w:r>
      <w:r>
        <w:rPr>
          <w:rFonts w:ascii="Times New Roman" w:hAnsi="Times New Roman" w:eastAsia="方正仿宋_GB2312"/>
          <w:b w:val="0"/>
          <w:bCs w:val="0"/>
          <w:sz w:val="32"/>
          <w:szCs w:val="32"/>
          <w:highlight w:val="none"/>
          <w:lang w:val="en-US"/>
        </w:rPr>
        <w:t>主要内容及实施情况</w:t>
      </w:r>
      <w:bookmarkEnd w:id="16"/>
      <w:bookmarkEnd w:id="17"/>
      <w:bookmarkEnd w:id="18"/>
      <w:bookmarkEnd w:id="19"/>
      <w:bookmarkEnd w:id="20"/>
      <w:bookmarkEnd w:id="21"/>
      <w:bookmarkEnd w:id="22"/>
      <w:bookmarkEnd w:id="23"/>
      <w:bookmarkEnd w:id="24"/>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640" w:firstLineChars="200"/>
        <w:jc w:val="both"/>
        <w:textAlignment w:val="auto"/>
        <w:rPr>
          <w:rFonts w:hint="default" w:ascii="Times New Roman" w:hAnsi="Times New Roman" w:eastAsia="方正仿宋_GB2312"/>
          <w:b w:val="0"/>
          <w:bCs w:val="0"/>
          <w:sz w:val="32"/>
          <w:szCs w:val="32"/>
          <w:highlight w:val="none"/>
          <w:lang w:val="en-US" w:eastAsia="zh-CN"/>
        </w:rPr>
      </w:pPr>
      <w:r>
        <w:rPr>
          <w:rFonts w:hint="eastAsia" w:ascii="Times New Roman" w:hAnsi="Times New Roman" w:eastAsia="方正仿宋_GB2312"/>
          <w:b w:val="0"/>
          <w:bCs w:val="0"/>
          <w:sz w:val="32"/>
          <w:szCs w:val="32"/>
          <w:highlight w:val="none"/>
          <w:lang w:val="en-US" w:eastAsia="zh-CN"/>
        </w:rPr>
        <w:t>（1）项目主要内容</w:t>
      </w:r>
    </w:p>
    <w:p>
      <w:pPr>
        <w:keepNext w:val="0"/>
        <w:keepLines w:val="0"/>
        <w:pageBreakBefore w:val="0"/>
        <w:kinsoku/>
        <w:wordWrap/>
        <w:overflowPunct/>
        <w:topLinePunct w:val="0"/>
        <w:bidi w:val="0"/>
        <w:adjustRightInd/>
        <w:snapToGrid/>
        <w:spacing w:line="600" w:lineRule="exact"/>
        <w:ind w:left="0" w:leftChars="0" w:right="0" w:firstLine="580" w:firstLineChars="200"/>
        <w:jc w:val="both"/>
        <w:textAlignment w:val="auto"/>
        <w:rPr>
          <w:rFonts w:ascii="Times New Roman" w:hAnsi="Times New Roman" w:eastAsia="方正仿宋_GB2312" w:cs="仿宋"/>
          <w:sz w:val="30"/>
          <w:szCs w:val="30"/>
        </w:rPr>
      </w:pPr>
      <w:r>
        <w:rPr>
          <w:rFonts w:ascii="Times New Roman" w:hAnsi="Times New Roman" w:eastAsia="方正仿宋_GB2312" w:cs="仿宋"/>
          <w:spacing w:val="-5"/>
          <w:sz w:val="30"/>
          <w:szCs w:val="30"/>
        </w:rPr>
        <w:t>按照自治区党委领导部署要求，进一步做好</w:t>
      </w:r>
      <w:r>
        <w:rPr>
          <w:rFonts w:hint="eastAsia" w:ascii="Times New Roman" w:hAnsi="Times New Roman" w:eastAsia="方正仿宋_GB2312" w:cs="仿宋"/>
          <w:spacing w:val="-5"/>
          <w:sz w:val="30"/>
          <w:szCs w:val="30"/>
          <w:lang w:val="en-US" w:eastAsia="zh-CN"/>
        </w:rPr>
        <w:t>《实践》杂志蒙文版</w:t>
      </w:r>
      <w:r>
        <w:rPr>
          <w:rFonts w:ascii="Times New Roman" w:hAnsi="Times New Roman" w:eastAsia="方正仿宋_GB2312" w:cs="仿宋"/>
          <w:spacing w:val="-7"/>
          <w:sz w:val="30"/>
          <w:szCs w:val="30"/>
        </w:rPr>
        <w:t>在</w:t>
      </w:r>
      <w:r>
        <w:rPr>
          <w:rFonts w:hint="eastAsia" w:ascii="Times New Roman" w:hAnsi="Times New Roman" w:eastAsia="方正仿宋_GB2312" w:cs="仿宋"/>
          <w:spacing w:val="-7"/>
          <w:sz w:val="30"/>
          <w:szCs w:val="30"/>
          <w:lang w:val="en-US" w:eastAsia="zh-CN"/>
        </w:rPr>
        <w:t>党刊</w:t>
      </w:r>
      <w:r>
        <w:rPr>
          <w:rFonts w:hint="eastAsia" w:ascii="Times New Roman" w:hAnsi="Times New Roman" w:eastAsia="方正仿宋_GB2312" w:cs="仿宋"/>
          <w:spacing w:val="-5"/>
          <w:sz w:val="30"/>
          <w:szCs w:val="30"/>
          <w:lang w:val="en-US" w:eastAsia="zh-CN"/>
        </w:rPr>
        <w:t>理论方针政策及时向蒙古族党员群众进行宣传</w:t>
      </w:r>
      <w:r>
        <w:rPr>
          <w:rFonts w:ascii="Times New Roman" w:hAnsi="Times New Roman" w:eastAsia="方正仿宋_GB2312" w:cs="仿宋"/>
          <w:spacing w:val="-7"/>
          <w:sz w:val="30"/>
          <w:szCs w:val="30"/>
        </w:rPr>
        <w:t>工作。</w:t>
      </w:r>
      <w:r>
        <w:rPr>
          <w:rFonts w:hint="eastAsia" w:ascii="Times New Roman" w:hAnsi="Times New Roman" w:eastAsia="方正仿宋_GB2312" w:cs="仿宋"/>
          <w:spacing w:val="-7"/>
          <w:sz w:val="30"/>
          <w:szCs w:val="30"/>
          <w:lang w:val="en-US" w:eastAsia="zh-CN"/>
        </w:rPr>
        <w:t>少数民族刊物业务补助</w:t>
      </w:r>
      <w:r>
        <w:rPr>
          <w:rFonts w:ascii="Times New Roman" w:hAnsi="Times New Roman" w:eastAsia="方正仿宋_GB2312" w:cs="仿宋"/>
          <w:spacing w:val="-5"/>
          <w:sz w:val="30"/>
          <w:szCs w:val="30"/>
        </w:rPr>
        <w:t>202</w:t>
      </w:r>
      <w:r>
        <w:rPr>
          <w:rFonts w:hint="eastAsia" w:ascii="Times New Roman" w:hAnsi="Times New Roman" w:eastAsia="方正仿宋_GB2312" w:cs="仿宋"/>
          <w:spacing w:val="-5"/>
          <w:sz w:val="30"/>
          <w:szCs w:val="30"/>
          <w:lang w:val="en-US" w:eastAsia="zh-CN"/>
        </w:rPr>
        <w:t>5</w:t>
      </w:r>
      <w:r>
        <w:rPr>
          <w:rFonts w:ascii="Times New Roman" w:hAnsi="Times New Roman" w:eastAsia="方正仿宋_GB2312" w:cs="仿宋"/>
          <w:spacing w:val="-5"/>
          <w:sz w:val="30"/>
          <w:szCs w:val="30"/>
        </w:rPr>
        <w:t>年</w:t>
      </w:r>
      <w:r>
        <w:rPr>
          <w:rFonts w:hint="eastAsia" w:ascii="Times New Roman" w:hAnsi="Times New Roman" w:eastAsia="方正仿宋_GB2312" w:cs="仿宋"/>
          <w:spacing w:val="-5"/>
          <w:sz w:val="30"/>
          <w:szCs w:val="30"/>
          <w:lang w:val="en-US" w:eastAsia="zh-CN"/>
        </w:rPr>
        <w:t>经费</w:t>
      </w:r>
      <w:r>
        <w:rPr>
          <w:rFonts w:ascii="Times New Roman" w:hAnsi="Times New Roman" w:eastAsia="方正仿宋_GB2312" w:cs="仿宋"/>
          <w:spacing w:val="-5"/>
          <w:sz w:val="30"/>
          <w:szCs w:val="30"/>
        </w:rPr>
        <w:t>项目（以下简称</w:t>
      </w:r>
      <w:r>
        <w:rPr>
          <w:rFonts w:ascii="Times New Roman" w:hAnsi="Times New Roman" w:eastAsia="方正仿宋_GB2312" w:cs="仿宋"/>
          <w:spacing w:val="-2"/>
          <w:sz w:val="30"/>
          <w:szCs w:val="30"/>
        </w:rPr>
        <w:t>本项目）主要包括如下内容：</w:t>
      </w:r>
    </w:p>
    <w:p>
      <w:pPr>
        <w:keepNext w:val="0"/>
        <w:keepLines w:val="0"/>
        <w:pageBreakBefore w:val="0"/>
        <w:widowControl w:val="0"/>
        <w:numPr>
          <w:ilvl w:val="1"/>
          <w:numId w:val="0"/>
        </w:numPr>
        <w:kinsoku/>
        <w:wordWrap/>
        <w:overflowPunct/>
        <w:topLinePunct w:val="0"/>
        <w:autoSpaceDE w:val="0"/>
        <w:autoSpaceDN w:val="0"/>
        <w:bidi w:val="0"/>
        <w:adjustRightInd/>
        <w:snapToGrid/>
        <w:spacing w:line="600" w:lineRule="exact"/>
        <w:ind w:left="0" w:leftChars="0" w:right="0" w:rightChars="0" w:firstLine="564" w:firstLineChars="200"/>
        <w:jc w:val="both"/>
        <w:textAlignment w:val="auto"/>
        <w:rPr>
          <w:rFonts w:hint="eastAsia" w:ascii="Times New Roman" w:hAnsi="Times New Roman" w:eastAsia="方正仿宋_GB2312" w:cs="仿宋"/>
          <w:spacing w:val="-9"/>
          <w:sz w:val="30"/>
          <w:szCs w:val="30"/>
          <w:lang w:val="en-US" w:eastAsia="zh-CN"/>
        </w:rPr>
      </w:pPr>
      <w:r>
        <w:rPr>
          <w:rFonts w:hint="default" w:ascii="Times New Roman" w:hAnsi="Times New Roman" w:eastAsia="方正仿宋_GB2312" w:cs="仿宋"/>
          <w:spacing w:val="-9"/>
          <w:sz w:val="30"/>
          <w:szCs w:val="30"/>
          <w:lang w:val="en-US" w:eastAsia="zh-CN" w:bidi="zh-CN"/>
        </w:rPr>
        <w:t>①</w:t>
      </w:r>
      <w:r>
        <w:rPr>
          <w:rFonts w:hint="eastAsia" w:ascii="Times New Roman" w:hAnsi="Times New Roman" w:eastAsia="方正仿宋_GB2312" w:cs="仿宋"/>
          <w:spacing w:val="-9"/>
          <w:sz w:val="30"/>
          <w:szCs w:val="30"/>
          <w:lang w:val="en-US" w:eastAsia="zh-CN"/>
        </w:rPr>
        <w:t>做好《实践》蒙文刊物的翻译、审稿工作，确保广大蒙古族党员群众准确理解党的政策方针，宣传好党的新思想、新理念。</w:t>
      </w:r>
    </w:p>
    <w:p>
      <w:pPr>
        <w:keepNext w:val="0"/>
        <w:keepLines w:val="0"/>
        <w:pageBreakBefore w:val="0"/>
        <w:widowControl w:val="0"/>
        <w:numPr>
          <w:ilvl w:val="1"/>
          <w:numId w:val="0"/>
        </w:numPr>
        <w:kinsoku/>
        <w:wordWrap/>
        <w:overflowPunct/>
        <w:topLinePunct w:val="0"/>
        <w:autoSpaceDE w:val="0"/>
        <w:autoSpaceDN w:val="0"/>
        <w:bidi w:val="0"/>
        <w:adjustRightInd/>
        <w:snapToGrid/>
        <w:spacing w:line="600" w:lineRule="exact"/>
        <w:ind w:left="0" w:leftChars="0" w:right="0" w:rightChars="0" w:firstLine="580" w:firstLineChars="200"/>
        <w:jc w:val="both"/>
        <w:textAlignment w:val="auto"/>
        <w:rPr>
          <w:rFonts w:hint="eastAsia" w:ascii="Times New Roman" w:hAnsi="Times New Roman" w:eastAsia="方正仿宋_GB2312" w:cs="仿宋"/>
          <w:spacing w:val="-5"/>
          <w:sz w:val="30"/>
          <w:szCs w:val="30"/>
          <w:lang w:val="en-US" w:eastAsia="zh-CN"/>
        </w:rPr>
      </w:pPr>
      <w:r>
        <w:rPr>
          <w:rFonts w:hint="default" w:ascii="Times New Roman" w:hAnsi="Times New Roman" w:eastAsia="方正仿宋_GB2312" w:cs="仿宋"/>
          <w:spacing w:val="-5"/>
          <w:sz w:val="30"/>
          <w:szCs w:val="30"/>
          <w:lang w:val="en-US" w:eastAsia="zh-CN" w:bidi="zh-CN"/>
        </w:rPr>
        <w:t>②</w:t>
      </w:r>
      <w:r>
        <w:rPr>
          <w:rFonts w:hint="eastAsia" w:ascii="Times New Roman" w:hAnsi="Times New Roman" w:eastAsia="方正仿宋_GB2312" w:cs="仿宋"/>
          <w:spacing w:val="-9"/>
          <w:sz w:val="30"/>
          <w:szCs w:val="30"/>
          <w:lang w:val="en-US" w:eastAsia="zh-CN"/>
        </w:rPr>
        <w:t>维护好《实践蒙文版》微信公众号，通过新形式的传播手段宣传好自治区方针政策，</w:t>
      </w:r>
      <w:r>
        <w:rPr>
          <w:rFonts w:hint="eastAsia" w:ascii="Times New Roman" w:hAnsi="Times New Roman" w:eastAsia="方正仿宋_GB2312" w:cs="仿宋"/>
          <w:spacing w:val="-5"/>
          <w:sz w:val="30"/>
          <w:szCs w:val="30"/>
          <w:lang w:val="en-US" w:eastAsia="zh-CN"/>
        </w:rPr>
        <w:t>为自治区的团结稳定做出了积极贡献，实现了党刊的引导宣传作用。</w:t>
      </w:r>
    </w:p>
    <w:p>
      <w:pPr>
        <w:keepNext w:val="0"/>
        <w:keepLines w:val="0"/>
        <w:pageBreakBefore w:val="0"/>
        <w:widowControl w:val="0"/>
        <w:numPr>
          <w:ilvl w:val="1"/>
          <w:numId w:val="0"/>
        </w:numPr>
        <w:kinsoku/>
        <w:wordWrap/>
        <w:overflowPunct/>
        <w:topLinePunct w:val="0"/>
        <w:autoSpaceDE w:val="0"/>
        <w:autoSpaceDN w:val="0"/>
        <w:bidi w:val="0"/>
        <w:adjustRightInd/>
        <w:snapToGrid/>
        <w:spacing w:line="600" w:lineRule="exact"/>
        <w:ind w:left="0" w:leftChars="0" w:right="0" w:rightChars="0" w:firstLine="580" w:firstLineChars="200"/>
        <w:jc w:val="both"/>
        <w:textAlignment w:val="auto"/>
        <w:rPr>
          <w:rFonts w:hint="eastAsia" w:ascii="Times New Roman" w:hAnsi="Times New Roman" w:eastAsia="方正仿宋_GB2312" w:cs="仿宋"/>
          <w:spacing w:val="-5"/>
          <w:sz w:val="30"/>
          <w:szCs w:val="30"/>
          <w:lang w:val="en-US" w:eastAsia="zh-CN"/>
        </w:rPr>
      </w:pPr>
      <w:r>
        <w:rPr>
          <w:rFonts w:hint="default" w:ascii="Times New Roman" w:hAnsi="Times New Roman" w:eastAsia="方正仿宋_GB2312" w:cs="仿宋"/>
          <w:spacing w:val="-5"/>
          <w:sz w:val="30"/>
          <w:szCs w:val="30"/>
          <w:lang w:val="en-US" w:eastAsia="zh-CN" w:bidi="zh-CN"/>
        </w:rPr>
        <w:t>③</w:t>
      </w:r>
      <w:r>
        <w:rPr>
          <w:rFonts w:hint="eastAsia" w:ascii="Times New Roman" w:hAnsi="Times New Roman" w:eastAsia="方正仿宋_GB2312" w:cs="仿宋"/>
          <w:spacing w:val="-5"/>
          <w:sz w:val="30"/>
          <w:szCs w:val="30"/>
          <w:lang w:val="en-US" w:eastAsia="zh-CN"/>
        </w:rPr>
        <w:t>抓好《实践》蒙文刊物印刷质量，符合现行</w:t>
      </w:r>
      <w:r>
        <w:rPr>
          <w:rFonts w:hint="eastAsia" w:ascii="Times New Roman" w:hAnsi="Times New Roman" w:eastAsia="方正仿宋_GB2312" w:cs="仿宋"/>
          <w:sz w:val="32"/>
          <w:szCs w:val="32"/>
          <w:highlight w:val="none"/>
          <w:lang w:val="en-US" w:eastAsia="zh-CN"/>
        </w:rPr>
        <w:t>《期刊出版管理规定》</w:t>
      </w:r>
      <w:r>
        <w:rPr>
          <w:rFonts w:hint="eastAsia" w:ascii="Times New Roman" w:hAnsi="Times New Roman" w:eastAsia="方正仿宋_GB2312" w:cs="仿宋"/>
          <w:spacing w:val="-5"/>
          <w:sz w:val="30"/>
          <w:szCs w:val="30"/>
          <w:lang w:val="en-US" w:eastAsia="zh-CN"/>
        </w:rPr>
        <w:t>标准，</w:t>
      </w:r>
      <w:r>
        <w:rPr>
          <w:rFonts w:hint="eastAsia" w:ascii="Times New Roman" w:hAnsi="Times New Roman" w:eastAsia="方正仿宋_GB2312" w:cs="仿宋"/>
          <w:sz w:val="32"/>
          <w:szCs w:val="32"/>
          <w:highlight w:val="none"/>
          <w:lang w:val="en-US" w:eastAsia="zh-CN"/>
        </w:rPr>
        <w:t>加强对选题、内容、编校、印制各环节的审核把关</w:t>
      </w:r>
      <w:r>
        <w:rPr>
          <w:rFonts w:hint="eastAsia" w:ascii="Times New Roman" w:hAnsi="Times New Roman" w:eastAsia="方正仿宋_GB2312" w:cs="仿宋"/>
          <w:spacing w:val="-5"/>
          <w:sz w:val="30"/>
          <w:szCs w:val="30"/>
          <w:lang w:val="en-US" w:eastAsia="zh-CN"/>
        </w:rPr>
        <w:t>；为广大蒙古族党员群众读者提供舒适、便捷的理论性刊物。更好的履行职责使命，紧跟时代步伐，紧贴中心工作，为促进内蒙古经济社会发展和党的建设作出重要贡献。</w:t>
      </w:r>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640" w:firstLineChars="200"/>
        <w:jc w:val="both"/>
        <w:textAlignment w:val="auto"/>
        <w:rPr>
          <w:rFonts w:hint="default" w:ascii="Times New Roman" w:hAnsi="Times New Roman" w:eastAsia="方正仿宋_GB2312"/>
          <w:b w:val="0"/>
          <w:bCs w:val="0"/>
          <w:sz w:val="32"/>
          <w:szCs w:val="32"/>
          <w:highlight w:val="none"/>
          <w:lang w:val="en-US" w:eastAsia="zh-CN"/>
        </w:rPr>
      </w:pPr>
      <w:r>
        <w:rPr>
          <w:rFonts w:hint="eastAsia" w:ascii="Times New Roman" w:hAnsi="Times New Roman" w:eastAsia="方正仿宋_GB2312"/>
          <w:b w:val="0"/>
          <w:bCs w:val="0"/>
          <w:sz w:val="32"/>
          <w:szCs w:val="32"/>
          <w:highlight w:val="none"/>
          <w:lang w:val="en-US" w:eastAsia="zh-CN"/>
        </w:rPr>
        <w:t>（2）项目实施情况</w:t>
      </w:r>
    </w:p>
    <w:p>
      <w:pPr>
        <w:keepNext w:val="0"/>
        <w:keepLines w:val="0"/>
        <w:pageBreakBefore w:val="0"/>
        <w:kinsoku/>
        <w:wordWrap/>
        <w:overflowPunct/>
        <w:topLinePunct w:val="0"/>
        <w:bidi w:val="0"/>
        <w:adjustRightInd/>
        <w:snapToGrid/>
        <w:spacing w:line="600" w:lineRule="exact"/>
        <w:ind w:left="0" w:leftChars="0" w:right="0" w:firstLine="580" w:firstLineChars="200"/>
        <w:jc w:val="both"/>
        <w:textAlignment w:val="auto"/>
        <w:rPr>
          <w:rFonts w:hint="eastAsia" w:ascii="Times New Roman" w:hAnsi="Times New Roman" w:eastAsia="方正仿宋_GB2312" w:cs="仿宋"/>
          <w:spacing w:val="-5"/>
          <w:sz w:val="30"/>
          <w:szCs w:val="30"/>
          <w:lang w:val="en-US" w:eastAsia="zh-CN"/>
        </w:rPr>
      </w:pPr>
      <w:r>
        <w:rPr>
          <w:rFonts w:hint="eastAsia" w:ascii="Times New Roman" w:hAnsi="Times New Roman" w:eastAsia="方正仿宋_GB2312" w:cs="仿宋"/>
          <w:spacing w:val="-5"/>
          <w:sz w:val="30"/>
          <w:szCs w:val="30"/>
          <w:lang w:val="en-US" w:eastAsia="zh-CN"/>
        </w:rPr>
        <w:t>2025年，第二编辑部以理论阐释和实践探索相结合的方式，继续围绕学习贯彻习近平新时代中国特色社会主义思想、总书记交给内蒙古的五大任务、奋进新征程建功新时代、党的十九届六中全会精神、党的二十大精神、铸牢中华民族共同体意识、全国两会和全区两会精神、中华文化、重大主题进行刊网一体策划、一体宣传，融媒体内容建设质量进一步提高。</w:t>
      </w:r>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640" w:firstLineChars="200"/>
        <w:jc w:val="both"/>
        <w:textAlignment w:val="auto"/>
        <w:rPr>
          <w:rFonts w:hint="default" w:ascii="Times New Roman" w:hAnsi="Times New Roman" w:eastAsia="方正仿宋_GB2312"/>
          <w:color w:val="auto"/>
          <w:sz w:val="32"/>
          <w:szCs w:val="32"/>
          <w:highlight w:val="none"/>
          <w:lang w:val="en-US" w:eastAsia="zh-CN"/>
        </w:rPr>
      </w:pPr>
      <w:r>
        <w:rPr>
          <w:rFonts w:hint="eastAsia" w:ascii="Times New Roman" w:hAnsi="Times New Roman" w:eastAsia="方正仿宋_GB2312"/>
          <w:color w:val="auto"/>
          <w:sz w:val="32"/>
          <w:szCs w:val="32"/>
          <w:highlight w:val="none"/>
          <w:lang w:val="en-US" w:eastAsia="zh-CN"/>
        </w:rPr>
        <w:t>2025年我社精准发力，努力提质增效，圆满完成了各项宣传任务，为自治区的团结稳定作出了积极贡献，实现了党刊的引导宣传作用。从2025年全年运转情况来看，刊物内容质量、印刷质量均有所保障，刊物全年发行1.67万余册，较好地完成了刊物覆盖率目标。保证党刊的顺利编辑出版发行。</w:t>
      </w: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0" w:firstLineChars="200"/>
        <w:textAlignment w:val="auto"/>
        <w:rPr>
          <w:rFonts w:ascii="Times New Roman" w:hAnsi="Times New Roman" w:eastAsia="方正仿宋_GB2312"/>
          <w:b w:val="0"/>
          <w:bCs w:val="0"/>
          <w:sz w:val="32"/>
          <w:szCs w:val="32"/>
          <w:highlight w:val="none"/>
          <w:lang w:val="en-US"/>
        </w:rPr>
      </w:pPr>
      <w:bookmarkStart w:id="25" w:name="_Toc12984"/>
      <w:bookmarkStart w:id="26" w:name="_Toc29727"/>
      <w:bookmarkStart w:id="27" w:name="_Toc12397"/>
      <w:bookmarkStart w:id="28" w:name="_Toc25213"/>
      <w:bookmarkStart w:id="29" w:name="_Toc25069"/>
      <w:bookmarkStart w:id="30" w:name="_Toc28669"/>
      <w:bookmarkStart w:id="31" w:name="_Toc32225"/>
      <w:bookmarkStart w:id="32" w:name="_Toc12644"/>
      <w:bookmarkStart w:id="33" w:name="_Toc18378"/>
      <w:r>
        <w:rPr>
          <w:rFonts w:hint="eastAsia" w:ascii="Times New Roman" w:hAnsi="Times New Roman" w:eastAsia="方正仿宋_GB2312"/>
          <w:b w:val="0"/>
          <w:bCs w:val="0"/>
          <w:sz w:val="32"/>
          <w:szCs w:val="32"/>
          <w:highlight w:val="none"/>
          <w:lang w:val="en-US"/>
        </w:rPr>
        <w:t>3.资金投入及使用情况</w:t>
      </w:r>
      <w:bookmarkEnd w:id="25"/>
      <w:bookmarkEnd w:id="26"/>
      <w:bookmarkEnd w:id="27"/>
      <w:bookmarkEnd w:id="28"/>
      <w:bookmarkEnd w:id="29"/>
      <w:bookmarkEnd w:id="30"/>
      <w:bookmarkEnd w:id="31"/>
      <w:bookmarkEnd w:id="32"/>
      <w:bookmarkEnd w:id="33"/>
    </w:p>
    <w:p>
      <w:pPr>
        <w:keepNext w:val="0"/>
        <w:keepLines w:val="0"/>
        <w:pageBreakBefore w:val="0"/>
        <w:kinsoku/>
        <w:wordWrap/>
        <w:overflowPunct/>
        <w:topLinePunct w:val="0"/>
        <w:bidi w:val="0"/>
        <w:adjustRightInd/>
        <w:snapToGrid/>
        <w:spacing w:line="600" w:lineRule="exact"/>
        <w:ind w:left="0" w:leftChars="0" w:right="0" w:firstLine="640" w:firstLineChars="200"/>
        <w:jc w:val="both"/>
        <w:textAlignment w:val="auto"/>
        <w:rPr>
          <w:rFonts w:ascii="Times New Roman" w:hAnsi="Times New Roman" w:eastAsia="方正仿宋_GB2312" w:cs="仿宋"/>
          <w:sz w:val="30"/>
          <w:szCs w:val="30"/>
        </w:rPr>
      </w:pPr>
      <w:r>
        <w:rPr>
          <w:rFonts w:hint="eastAsia" w:ascii="Times New Roman" w:hAnsi="Times New Roman" w:eastAsia="方正仿宋_GB2312"/>
          <w:b w:val="0"/>
          <w:bCs w:val="0"/>
          <w:color w:val="auto"/>
          <w:sz w:val="32"/>
          <w:szCs w:val="32"/>
          <w:highlight w:val="none"/>
          <w:lang w:val="en-US" w:eastAsia="zh-CN"/>
        </w:rPr>
        <w:t>本项目2025年财政预算批复101万元，全年预算执行数为101万元，预算执行率100%。</w:t>
      </w:r>
      <w:r>
        <w:rPr>
          <w:rFonts w:ascii="Times New Roman" w:hAnsi="Times New Roman" w:eastAsia="方正仿宋_GB2312" w:cs="仿宋"/>
          <w:spacing w:val="-12"/>
          <w:sz w:val="30"/>
          <w:szCs w:val="30"/>
        </w:rPr>
        <w:t>本项目主要支出范围包括预算范围内的</w:t>
      </w:r>
      <w:r>
        <w:rPr>
          <w:rFonts w:hint="eastAsia" w:ascii="Times New Roman" w:hAnsi="Times New Roman" w:eastAsia="方正仿宋_GB2312"/>
          <w:b w:val="0"/>
          <w:bCs w:val="0"/>
          <w:color w:val="auto"/>
          <w:sz w:val="32"/>
          <w:szCs w:val="32"/>
          <w:highlight w:val="none"/>
          <w:lang w:val="en-US" w:eastAsia="zh-CN"/>
        </w:rPr>
        <w:t>印刷费45万元</w:t>
      </w:r>
      <w:r>
        <w:rPr>
          <w:rFonts w:ascii="Times New Roman" w:hAnsi="Times New Roman" w:eastAsia="方正仿宋_GB2312" w:cs="仿宋"/>
          <w:spacing w:val="-12"/>
          <w:sz w:val="30"/>
          <w:szCs w:val="30"/>
        </w:rPr>
        <w:t>、</w:t>
      </w:r>
      <w:r>
        <w:rPr>
          <w:rFonts w:hint="eastAsia" w:ascii="Times New Roman" w:hAnsi="Times New Roman" w:eastAsia="方正仿宋_GB2312"/>
          <w:b w:val="0"/>
          <w:bCs w:val="0"/>
          <w:color w:val="auto"/>
          <w:sz w:val="32"/>
          <w:szCs w:val="32"/>
          <w:highlight w:val="none"/>
          <w:lang w:val="en-US" w:eastAsia="zh-CN"/>
        </w:rPr>
        <w:t>绩效工资56万元</w:t>
      </w:r>
      <w:r>
        <w:rPr>
          <w:rFonts w:hint="eastAsia" w:ascii="Times New Roman" w:hAnsi="Times New Roman" w:eastAsia="方正仿宋_GB2312" w:cs="仿宋"/>
          <w:spacing w:val="-12"/>
          <w:sz w:val="30"/>
          <w:szCs w:val="30"/>
          <w:lang w:val="en-US" w:eastAsia="zh-CN"/>
        </w:rPr>
        <w:t>，</w:t>
      </w:r>
      <w:r>
        <w:rPr>
          <w:rFonts w:hint="default" w:ascii="Times New Roman" w:hAnsi="Times New Roman" w:eastAsia="方正仿宋_GB2312" w:cs="仿宋"/>
          <w:spacing w:val="-12"/>
          <w:sz w:val="30"/>
          <w:szCs w:val="30"/>
          <w:lang w:eastAsia="zh-CN"/>
        </w:rPr>
        <w:t>通过财政补助，弥补</w:t>
      </w:r>
      <w:r>
        <w:rPr>
          <w:rFonts w:hint="eastAsia" w:ascii="Times New Roman" w:hAnsi="Times New Roman" w:eastAsia="方正仿宋_GB2312" w:cs="仿宋"/>
          <w:spacing w:val="-12"/>
          <w:sz w:val="30"/>
          <w:szCs w:val="30"/>
          <w:lang w:eastAsia="zh-CN"/>
        </w:rPr>
        <w:t>《</w:t>
      </w:r>
      <w:r>
        <w:rPr>
          <w:rFonts w:hint="eastAsia" w:ascii="Times New Roman" w:hAnsi="Times New Roman" w:eastAsia="方正仿宋_GB2312" w:cs="仿宋"/>
          <w:spacing w:val="-12"/>
          <w:sz w:val="30"/>
          <w:szCs w:val="30"/>
          <w:lang w:val="en-US" w:eastAsia="zh-CN"/>
        </w:rPr>
        <w:t>实践</w:t>
      </w:r>
      <w:r>
        <w:rPr>
          <w:rFonts w:hint="eastAsia" w:ascii="Times New Roman" w:hAnsi="Times New Roman" w:eastAsia="方正仿宋_GB2312" w:cs="仿宋"/>
          <w:spacing w:val="-12"/>
          <w:sz w:val="30"/>
          <w:szCs w:val="30"/>
          <w:lang w:eastAsia="zh-CN"/>
        </w:rPr>
        <w:t>》</w:t>
      </w:r>
      <w:r>
        <w:rPr>
          <w:rFonts w:hint="default" w:ascii="Times New Roman" w:hAnsi="Times New Roman" w:eastAsia="方正仿宋_GB2312" w:cs="仿宋"/>
          <w:spacing w:val="-12"/>
          <w:sz w:val="30"/>
          <w:szCs w:val="30"/>
          <w:lang w:eastAsia="zh-CN"/>
        </w:rPr>
        <w:t>蒙文刊物成本的不足，从而保证蒙文刊物的内容质量、印刷质量等不因经费紧缺而下降，保障蒙文刊物的覆盖面。</w:t>
      </w:r>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rPr>
          <w:rFonts w:hint="eastAsia" w:ascii="Times New Roman" w:hAnsi="Times New Roman" w:eastAsia="方正仿宋_GB2312"/>
          <w:sz w:val="32"/>
          <w:szCs w:val="32"/>
          <w:highlight w:val="none"/>
          <w:lang w:val="en-US"/>
        </w:rPr>
      </w:pPr>
      <w:bookmarkStart w:id="34" w:name="_Toc31611"/>
      <w:r>
        <w:rPr>
          <w:rFonts w:hint="eastAsia" w:ascii="Times New Roman" w:hAnsi="Times New Roman" w:eastAsia="方正仿宋_GB2312"/>
          <w:sz w:val="32"/>
          <w:szCs w:val="32"/>
          <w:highlight w:val="none"/>
          <w:lang w:val="en-US" w:eastAsia="zh-CN"/>
        </w:rPr>
        <w:t>（二）绩效目标</w:t>
      </w:r>
      <w:bookmarkEnd w:id="34"/>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0" w:firstLineChars="200"/>
        <w:textAlignment w:val="auto"/>
        <w:rPr>
          <w:rFonts w:hint="eastAsia" w:ascii="Times New Roman" w:hAnsi="Times New Roman" w:eastAsia="方正仿宋_GB2312" w:cs="仿宋"/>
          <w:b w:val="0"/>
          <w:bCs w:val="0"/>
          <w:sz w:val="32"/>
          <w:szCs w:val="32"/>
          <w:highlight w:val="none"/>
          <w:lang w:val="en-US"/>
        </w:rPr>
      </w:pPr>
      <w:bookmarkStart w:id="35" w:name="_Toc12906"/>
      <w:bookmarkStart w:id="36" w:name="_Toc17768"/>
      <w:bookmarkStart w:id="37" w:name="_Toc24270"/>
      <w:bookmarkStart w:id="38" w:name="_Toc24348"/>
      <w:bookmarkStart w:id="39" w:name="_Toc20999"/>
      <w:bookmarkStart w:id="40" w:name="_Toc21286"/>
      <w:bookmarkStart w:id="41" w:name="_Toc25879"/>
      <w:bookmarkStart w:id="42" w:name="_Toc7063"/>
      <w:bookmarkStart w:id="43" w:name="_Toc20252"/>
      <w:r>
        <w:rPr>
          <w:rFonts w:hint="eastAsia" w:ascii="Times New Roman" w:hAnsi="Times New Roman" w:eastAsia="方正仿宋_GB2312" w:cs="仿宋"/>
          <w:b w:val="0"/>
          <w:bCs w:val="0"/>
          <w:sz w:val="32"/>
          <w:szCs w:val="32"/>
          <w:highlight w:val="none"/>
          <w:lang w:val="en-US"/>
        </w:rPr>
        <w:t>1.总体目标</w:t>
      </w:r>
      <w:bookmarkEnd w:id="35"/>
      <w:bookmarkEnd w:id="36"/>
      <w:bookmarkEnd w:id="37"/>
      <w:bookmarkEnd w:id="38"/>
      <w:bookmarkEnd w:id="39"/>
      <w:bookmarkEnd w:id="40"/>
      <w:bookmarkEnd w:id="41"/>
      <w:bookmarkEnd w:id="42"/>
      <w:bookmarkEnd w:id="43"/>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552" w:firstLineChars="200"/>
        <w:jc w:val="both"/>
        <w:textAlignment w:val="auto"/>
        <w:rPr>
          <w:rFonts w:hint="eastAsia" w:ascii="Times New Roman" w:hAnsi="Times New Roman" w:eastAsia="方正仿宋_GB2312" w:cs="仿宋"/>
          <w:b/>
          <w:bCs/>
          <w:spacing w:val="-12"/>
          <w:sz w:val="28"/>
          <w:szCs w:val="28"/>
          <w:lang w:val="en-US" w:eastAsia="zh-CN"/>
        </w:rPr>
      </w:pPr>
      <w:r>
        <w:rPr>
          <w:rFonts w:hint="eastAsia" w:ascii="Times New Roman" w:hAnsi="Times New Roman" w:eastAsia="方正仿宋_GB2312" w:cs="仿宋"/>
          <w:spacing w:val="-12"/>
          <w:sz w:val="30"/>
          <w:szCs w:val="30"/>
        </w:rPr>
        <w:t>通过财政补助，弥补蒙文刊物办刊费用，从而保证蒙文刊物的内容质量、印刷质量等不因经费紧缺而下降，保障蒙文刊物的覆盖面。做好蒙文刊物的编审校、翻译、出版工作，更好服务全区读者学习，提升思想文化</w:t>
      </w:r>
      <w:r>
        <w:rPr>
          <w:rFonts w:hint="eastAsia" w:ascii="Times New Roman" w:hAnsi="Times New Roman" w:eastAsia="方正仿宋_GB2312" w:cs="仿宋"/>
          <w:spacing w:val="-12"/>
          <w:sz w:val="30"/>
          <w:szCs w:val="30"/>
          <w:lang w:eastAsia="zh-CN"/>
        </w:rPr>
        <w:t>。</w:t>
      </w:r>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0" w:firstLineChars="0"/>
        <w:jc w:val="center"/>
        <w:textAlignment w:val="auto"/>
        <w:rPr>
          <w:rFonts w:hint="default" w:ascii="Times New Roman" w:hAnsi="Times New Roman" w:eastAsia="方正仿宋_GB2312" w:cs="仿宋"/>
          <w:b/>
          <w:bCs/>
          <w:spacing w:val="-12"/>
          <w:sz w:val="28"/>
          <w:szCs w:val="28"/>
          <w:lang w:val="en-US" w:eastAsia="zh-CN"/>
        </w:rPr>
      </w:pPr>
      <w:r>
        <w:rPr>
          <w:rFonts w:hint="eastAsia" w:ascii="Times New Roman" w:hAnsi="Times New Roman" w:eastAsia="方正仿宋_GB2312" w:cs="仿宋"/>
          <w:b/>
          <w:bCs/>
          <w:spacing w:val="-12"/>
          <w:sz w:val="28"/>
          <w:szCs w:val="28"/>
          <w:lang w:val="en-US" w:eastAsia="zh-CN"/>
        </w:rPr>
        <w:t>表1：2025年度少数民族刊物业务补助绩效目标表</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auto"/>
        <w:ind w:left="0" w:leftChars="0" w:right="0" w:firstLine="0" w:firstLineChars="0"/>
        <w:textAlignment w:val="auto"/>
        <w:rPr>
          <w:rFonts w:hint="eastAsia" w:ascii="Times New Roman" w:hAnsi="Times New Roman" w:eastAsia="方正仿宋_GB2312"/>
          <w:lang w:val="en-US" w:eastAsia="zh-CN"/>
        </w:rPr>
      </w:pPr>
      <w:r>
        <w:rPr>
          <w:rFonts w:hint="eastAsia" w:ascii="Times New Roman" w:hAnsi="Times New Roman" w:eastAsia="方正仿宋_GB2312"/>
          <w:lang w:val="en-US" w:eastAsia="zh-CN"/>
        </w:rPr>
        <w:drawing>
          <wp:inline distT="0" distB="0" distL="114300" distR="114300">
            <wp:extent cx="5504815" cy="5645785"/>
            <wp:effectExtent l="0" t="0" r="15875" b="12065"/>
            <wp:docPr id="3" name="图片 3" descr="2025年度数民族刊物业务补助_Sheet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2025年度数民族刊物业务补助_Sheet0(2)"/>
                    <pic:cNvPicPr>
                      <a:picLocks noChangeAspect="true"/>
                    </pic:cNvPicPr>
                  </pic:nvPicPr>
                  <pic:blipFill>
                    <a:blip r:embed="rId20"/>
                    <a:stretch>
                      <a:fillRect/>
                    </a:stretch>
                  </pic:blipFill>
                  <pic:spPr>
                    <a:xfrm>
                      <a:off x="0" y="0"/>
                      <a:ext cx="5504815" cy="5645785"/>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552" w:firstLineChars="200"/>
        <w:jc w:val="both"/>
        <w:textAlignment w:val="auto"/>
        <w:outlineLvl w:val="2"/>
        <w:rPr>
          <w:rFonts w:ascii="Times New Roman" w:hAnsi="Times New Roman" w:eastAsia="方正仿宋_GB2312" w:cs="仿宋"/>
          <w:spacing w:val="-12"/>
          <w:sz w:val="30"/>
          <w:szCs w:val="30"/>
        </w:rPr>
      </w:pPr>
      <w:bookmarkStart w:id="44" w:name="_Toc30536"/>
      <w:r>
        <w:rPr>
          <w:rFonts w:ascii="Times New Roman" w:hAnsi="Times New Roman" w:eastAsia="方正仿宋_GB2312" w:cs="仿宋"/>
          <w:spacing w:val="-12"/>
          <w:sz w:val="30"/>
          <w:szCs w:val="30"/>
        </w:rPr>
        <w:t>2．产出和效益目标</w:t>
      </w:r>
      <w:bookmarkEnd w:id="44"/>
    </w:p>
    <w:p>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firstLine="552" w:firstLineChars="200"/>
        <w:jc w:val="both"/>
        <w:textAlignment w:val="auto"/>
        <w:rPr>
          <w:rFonts w:hint="eastAsia" w:ascii="Times New Roman" w:hAnsi="Times New Roman" w:eastAsia="方正仿宋_GB2312"/>
          <w:lang w:val="en-US" w:eastAsia="zh-CN"/>
        </w:rPr>
      </w:pPr>
      <w:r>
        <w:rPr>
          <w:rFonts w:hint="eastAsia" w:ascii="Times New Roman" w:hAnsi="Times New Roman" w:eastAsia="方正仿宋_GB2312" w:cs="仿宋"/>
          <w:spacing w:val="-12"/>
          <w:sz w:val="30"/>
          <w:szCs w:val="30"/>
        </w:rPr>
        <w:t>《实践》蒙文版202</w:t>
      </w:r>
      <w:r>
        <w:rPr>
          <w:rFonts w:hint="eastAsia" w:ascii="Times New Roman" w:hAnsi="Times New Roman" w:eastAsia="方正仿宋_GB2312" w:cs="仿宋"/>
          <w:spacing w:val="-12"/>
          <w:sz w:val="30"/>
          <w:szCs w:val="30"/>
          <w:lang w:val="en-US" w:eastAsia="zh-CN"/>
        </w:rPr>
        <w:t>5</w:t>
      </w:r>
      <w:r>
        <w:rPr>
          <w:rFonts w:hint="eastAsia" w:ascii="Times New Roman" w:hAnsi="Times New Roman" w:eastAsia="方正仿宋_GB2312" w:cs="仿宋"/>
          <w:spacing w:val="-12"/>
          <w:sz w:val="30"/>
          <w:szCs w:val="30"/>
        </w:rPr>
        <w:t>年围绕中央和自治区重大方针政策，策划推出了一系列接地气的宣传报道产品，为自治区的团结稳定做出了积极贡献，实现了党刊的引导宣传作用。为读者呈现图文并茂、彩色印刷、丰富活泼的版面形式，始终牢牢把握正确舆论导向，承担好宣传思想工作举旗帜、聚民心、育新人、兴文化、展形象的使命任务。</w:t>
      </w:r>
      <w:r>
        <w:rPr>
          <w:rFonts w:hint="eastAsia" w:ascii="Times New Roman" w:hAnsi="Times New Roman" w:eastAsia="方正仿宋_GB2312" w:cs="仿宋"/>
          <w:spacing w:val="-12"/>
          <w:sz w:val="30"/>
          <w:szCs w:val="30"/>
          <w:lang w:val="en-US" w:eastAsia="zh-CN"/>
        </w:rPr>
        <w:t>2025</w:t>
      </w:r>
      <w:r>
        <w:rPr>
          <w:rFonts w:hint="eastAsia" w:ascii="Times New Roman" w:hAnsi="Times New Roman" w:eastAsia="方正仿宋_GB2312" w:cs="仿宋"/>
          <w:spacing w:val="-12"/>
          <w:sz w:val="30"/>
          <w:szCs w:val="30"/>
        </w:rPr>
        <w:t>年，本部门紧紧围绕年初制定的各项考核工作任务，切实加强组织领导，落实工作责任，全面完成了各项目标任务。</w:t>
      </w:r>
      <w:r>
        <w:rPr>
          <w:rFonts w:ascii="Times New Roman" w:hAnsi="Times New Roman" w:eastAsia="方正仿宋_GB2312" w:cs="仿宋"/>
          <w:spacing w:val="-5"/>
          <w:sz w:val="30"/>
          <w:szCs w:val="30"/>
        </w:rPr>
        <w:t>推动自治区各级全体党员</w:t>
      </w:r>
      <w:r>
        <w:rPr>
          <w:rFonts w:hint="eastAsia" w:ascii="Times New Roman" w:hAnsi="Times New Roman" w:eastAsia="方正仿宋_GB2312" w:cs="仿宋"/>
          <w:spacing w:val="-5"/>
          <w:sz w:val="30"/>
          <w:szCs w:val="30"/>
          <w:lang w:val="en-US" w:eastAsia="zh-CN"/>
        </w:rPr>
        <w:t>理论学习</w:t>
      </w:r>
      <w:r>
        <w:rPr>
          <w:rFonts w:ascii="Times New Roman" w:hAnsi="Times New Roman" w:eastAsia="方正仿宋_GB2312" w:cs="仿宋"/>
          <w:spacing w:val="-5"/>
          <w:sz w:val="30"/>
          <w:szCs w:val="30"/>
        </w:rPr>
        <w:t>运用开展</w:t>
      </w:r>
      <w:r>
        <w:rPr>
          <w:rFonts w:ascii="Times New Roman" w:hAnsi="Times New Roman" w:eastAsia="方正仿宋_GB2312" w:cs="仿宋"/>
          <w:spacing w:val="-3"/>
          <w:sz w:val="30"/>
          <w:szCs w:val="30"/>
        </w:rPr>
        <w:t>提高</w:t>
      </w:r>
      <w:r>
        <w:rPr>
          <w:rFonts w:hint="eastAsia" w:ascii="Times New Roman" w:hAnsi="Times New Roman" w:eastAsia="方正仿宋_GB2312" w:cs="仿宋"/>
          <w:spacing w:val="-3"/>
          <w:sz w:val="30"/>
          <w:szCs w:val="30"/>
          <w:lang w:val="en-US" w:eastAsia="zh-CN"/>
        </w:rPr>
        <w:t>读</w:t>
      </w:r>
      <w:r>
        <w:rPr>
          <w:rFonts w:ascii="Times New Roman" w:hAnsi="Times New Roman" w:eastAsia="方正仿宋_GB2312" w:cs="仿宋"/>
          <w:spacing w:val="-3"/>
          <w:sz w:val="30"/>
          <w:szCs w:val="30"/>
        </w:rPr>
        <w:t>者满意度</w:t>
      </w:r>
      <w:r>
        <w:rPr>
          <w:rFonts w:hint="eastAsia" w:ascii="Times New Roman" w:hAnsi="Times New Roman" w:eastAsia="方正仿宋_GB2312" w:cs="仿宋"/>
          <w:spacing w:val="-3"/>
          <w:sz w:val="30"/>
          <w:szCs w:val="3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outlineLvl w:val="0"/>
        <w:rPr>
          <w:rFonts w:hint="eastAsia" w:ascii="Times New Roman" w:hAnsi="Times New Roman" w:eastAsia="方正仿宋_GB2312"/>
          <w:b/>
          <w:bCs/>
          <w:sz w:val="32"/>
          <w:szCs w:val="32"/>
          <w:highlight w:val="none"/>
          <w:lang w:val="en-US"/>
        </w:rPr>
      </w:pPr>
      <w:r>
        <w:rPr>
          <w:rFonts w:hint="eastAsia" w:ascii="Times New Roman" w:hAnsi="Times New Roman" w:eastAsia="方正仿宋_GB2312"/>
          <w:b/>
          <w:bCs/>
          <w:sz w:val="32"/>
          <w:szCs w:val="32"/>
          <w:highlight w:val="none"/>
          <w:lang w:val="en-US"/>
        </w:rPr>
        <w:t>二、绩效评价工作开展情况</w:t>
      </w:r>
    </w:p>
    <w:p>
      <w:pPr>
        <w:pStyle w:val="3"/>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jc w:val="left"/>
        <w:textAlignment w:val="auto"/>
        <w:rPr>
          <w:rFonts w:ascii="Times New Roman" w:hAnsi="Times New Roman" w:eastAsia="方正仿宋_GB2312"/>
          <w:sz w:val="32"/>
          <w:szCs w:val="32"/>
          <w:highlight w:val="none"/>
          <w:lang w:val="en-US"/>
        </w:rPr>
      </w:pPr>
      <w:bookmarkStart w:id="45" w:name="_Toc2054"/>
      <w:r>
        <w:rPr>
          <w:rFonts w:hint="eastAsia" w:ascii="Times New Roman" w:hAnsi="Times New Roman" w:eastAsia="方正仿宋_GB2312"/>
          <w:sz w:val="32"/>
          <w:szCs w:val="32"/>
          <w:highlight w:val="none"/>
          <w:lang w:val="en-US"/>
        </w:rPr>
        <w:t>（一）绩效评价目的、对象和范围</w:t>
      </w:r>
      <w:bookmarkEnd w:id="45"/>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textAlignment w:val="auto"/>
        <w:rPr>
          <w:rFonts w:ascii="Times New Roman" w:hAnsi="Times New Roman" w:eastAsia="方正仿宋_GB2312"/>
          <w:sz w:val="32"/>
          <w:szCs w:val="32"/>
          <w:highlight w:val="none"/>
          <w:lang w:val="en-US"/>
        </w:rPr>
      </w:pPr>
      <w:bookmarkStart w:id="46" w:name="_Toc16143"/>
      <w:bookmarkStart w:id="47" w:name="_Toc19368"/>
      <w:bookmarkStart w:id="48" w:name="_Toc15760"/>
      <w:bookmarkStart w:id="49" w:name="_Toc8218"/>
      <w:bookmarkStart w:id="50" w:name="_Toc8874"/>
      <w:bookmarkStart w:id="51" w:name="_Toc3906"/>
      <w:bookmarkStart w:id="52" w:name="_Toc30935"/>
      <w:bookmarkStart w:id="53" w:name="_Toc8890"/>
      <w:bookmarkStart w:id="54" w:name="_Toc9503"/>
      <w:r>
        <w:rPr>
          <w:rFonts w:hint="eastAsia" w:ascii="Times New Roman" w:hAnsi="Times New Roman" w:eastAsia="方正仿宋_GB2312" w:cs="仿宋"/>
          <w:sz w:val="32"/>
          <w:szCs w:val="32"/>
          <w:highlight w:val="none"/>
          <w:lang w:val="en-US"/>
        </w:rPr>
        <w:t>1.</w:t>
      </w:r>
      <w:r>
        <w:rPr>
          <w:rFonts w:hint="eastAsia" w:ascii="Times New Roman" w:hAnsi="Times New Roman" w:eastAsia="方正仿宋_GB2312"/>
          <w:sz w:val="32"/>
          <w:szCs w:val="32"/>
          <w:highlight w:val="none"/>
          <w:lang w:val="en-US"/>
        </w:rPr>
        <w:t>绩效评价目的</w:t>
      </w:r>
      <w:bookmarkEnd w:id="46"/>
      <w:bookmarkEnd w:id="47"/>
      <w:bookmarkEnd w:id="48"/>
      <w:bookmarkEnd w:id="49"/>
      <w:bookmarkEnd w:id="50"/>
      <w:bookmarkEnd w:id="51"/>
      <w:bookmarkEnd w:id="52"/>
      <w:bookmarkEnd w:id="53"/>
      <w:bookmarkEnd w:id="54"/>
    </w:p>
    <w:p>
      <w:pPr>
        <w:keepNext w:val="0"/>
        <w:keepLines w:val="0"/>
        <w:pageBreakBefore w:val="0"/>
        <w:kinsoku/>
        <w:wordWrap/>
        <w:overflowPunct/>
        <w:topLinePunct w:val="0"/>
        <w:bidi w:val="0"/>
        <w:adjustRightInd/>
        <w:snapToGrid/>
        <w:spacing w:line="600" w:lineRule="exact"/>
        <w:ind w:left="0" w:leftChars="0" w:right="0" w:firstLine="576" w:firstLineChars="200"/>
        <w:textAlignment w:val="auto"/>
        <w:rPr>
          <w:rFonts w:ascii="Times New Roman" w:hAnsi="Times New Roman" w:eastAsia="方正仿宋_GB2312" w:cs="仿宋"/>
          <w:sz w:val="30"/>
          <w:szCs w:val="30"/>
        </w:rPr>
      </w:pPr>
      <w:r>
        <w:rPr>
          <w:rFonts w:ascii="Times New Roman" w:hAnsi="Times New Roman" w:eastAsia="方正仿宋_GB2312" w:cs="仿宋"/>
          <w:spacing w:val="-6"/>
          <w:sz w:val="30"/>
          <w:szCs w:val="30"/>
        </w:rPr>
        <w:t>按照“依法依规、高效可行、科学规范”原则，采用科学合</w:t>
      </w:r>
      <w:r>
        <w:rPr>
          <w:rFonts w:ascii="Times New Roman" w:hAnsi="Times New Roman" w:eastAsia="方正仿宋_GB2312" w:cs="仿宋"/>
          <w:spacing w:val="-4"/>
          <w:sz w:val="30"/>
          <w:szCs w:val="30"/>
        </w:rPr>
        <w:t>理的评价指标、评价标准和评价方法，形成全面、客</w:t>
      </w:r>
      <w:r>
        <w:rPr>
          <w:rFonts w:ascii="Times New Roman" w:hAnsi="Times New Roman" w:eastAsia="方正仿宋_GB2312" w:cs="仿宋"/>
          <w:spacing w:val="-5"/>
          <w:sz w:val="30"/>
          <w:szCs w:val="30"/>
        </w:rPr>
        <w:t>观、公正的</w:t>
      </w:r>
      <w:r>
        <w:rPr>
          <w:rFonts w:ascii="Times New Roman" w:hAnsi="Times New Roman" w:eastAsia="方正仿宋_GB2312" w:cs="仿宋"/>
          <w:spacing w:val="-2"/>
          <w:sz w:val="30"/>
          <w:szCs w:val="30"/>
        </w:rPr>
        <w:t>评价结论和意见，以期实现如下目的：</w:t>
      </w:r>
    </w:p>
    <w:p>
      <w:pPr>
        <w:keepNext w:val="0"/>
        <w:keepLines w:val="0"/>
        <w:pageBreakBefore w:val="0"/>
        <w:kinsoku/>
        <w:wordWrap/>
        <w:overflowPunct/>
        <w:topLinePunct w:val="0"/>
        <w:bidi w:val="0"/>
        <w:adjustRightInd/>
        <w:snapToGrid/>
        <w:spacing w:line="600" w:lineRule="exact"/>
        <w:ind w:left="0" w:leftChars="0" w:right="0" w:firstLine="604" w:firstLineChars="200"/>
        <w:textAlignment w:val="auto"/>
        <w:rPr>
          <w:rFonts w:ascii="Times New Roman" w:hAnsi="Times New Roman" w:eastAsia="方正仿宋_GB2312" w:cs="仿宋"/>
          <w:spacing w:val="1"/>
          <w:position w:val="22"/>
          <w:sz w:val="30"/>
          <w:szCs w:val="30"/>
        </w:rPr>
      </w:pPr>
      <w:r>
        <w:rPr>
          <w:rFonts w:ascii="Times New Roman" w:hAnsi="Times New Roman" w:eastAsia="方正仿宋_GB2312" w:cs="仿宋"/>
          <w:spacing w:val="1"/>
          <w:position w:val="22"/>
          <w:sz w:val="30"/>
          <w:szCs w:val="30"/>
        </w:rPr>
        <w:t>（1）向财政部门等相关方提供财政支出绩效方面的重要信息，有利于做出资源有效配置的合理决策；</w:t>
      </w:r>
    </w:p>
    <w:p>
      <w:pPr>
        <w:keepNext w:val="0"/>
        <w:keepLines w:val="0"/>
        <w:pageBreakBefore w:val="0"/>
        <w:kinsoku/>
        <w:wordWrap/>
        <w:overflowPunct/>
        <w:topLinePunct w:val="0"/>
        <w:bidi w:val="0"/>
        <w:adjustRightInd/>
        <w:snapToGrid/>
        <w:spacing w:line="600" w:lineRule="exact"/>
        <w:ind w:left="0" w:leftChars="0" w:right="0" w:firstLine="604" w:firstLineChars="200"/>
        <w:textAlignment w:val="auto"/>
        <w:rPr>
          <w:rFonts w:ascii="Times New Roman" w:hAnsi="Times New Roman" w:eastAsia="方正仿宋_GB2312" w:cs="仿宋"/>
          <w:spacing w:val="1"/>
          <w:position w:val="22"/>
          <w:sz w:val="30"/>
          <w:szCs w:val="30"/>
        </w:rPr>
      </w:pPr>
      <w:r>
        <w:rPr>
          <w:rFonts w:ascii="Times New Roman" w:hAnsi="Times New Roman" w:eastAsia="方正仿宋_GB2312" w:cs="仿宋"/>
          <w:spacing w:val="1"/>
          <w:position w:val="22"/>
          <w:sz w:val="30"/>
          <w:szCs w:val="30"/>
        </w:rPr>
        <w:t>（2）为财政支出运行提供及时、有效的信息，有利于帮助管理者改进财政支出管理，从而提高财政资金的使用绩效；</w:t>
      </w:r>
    </w:p>
    <w:p>
      <w:pPr>
        <w:keepNext w:val="0"/>
        <w:keepLines w:val="0"/>
        <w:pageBreakBefore w:val="0"/>
        <w:kinsoku/>
        <w:wordWrap/>
        <w:overflowPunct/>
        <w:topLinePunct w:val="0"/>
        <w:bidi w:val="0"/>
        <w:adjustRightInd/>
        <w:snapToGrid/>
        <w:spacing w:line="600" w:lineRule="exact"/>
        <w:ind w:left="0" w:leftChars="0" w:right="0" w:firstLine="604" w:firstLineChars="200"/>
        <w:textAlignment w:val="auto"/>
        <w:rPr>
          <w:rFonts w:ascii="Times New Roman" w:hAnsi="Times New Roman" w:eastAsia="方正仿宋_GB2312" w:cs="仿宋"/>
          <w:spacing w:val="1"/>
          <w:position w:val="22"/>
          <w:sz w:val="30"/>
          <w:szCs w:val="30"/>
        </w:rPr>
      </w:pPr>
      <w:r>
        <w:rPr>
          <w:rFonts w:ascii="Times New Roman" w:hAnsi="Times New Roman" w:eastAsia="方正仿宋_GB2312" w:cs="仿宋"/>
          <w:spacing w:val="1"/>
          <w:position w:val="22"/>
          <w:sz w:val="30"/>
          <w:szCs w:val="30"/>
        </w:rPr>
        <w:t>（3）通过绩效评价结果的公开、问责与应用，有利于增强项目实施单位分配、管理、使用财政资金的责任感。</w:t>
      </w:r>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textAlignment w:val="auto"/>
        <w:rPr>
          <w:rFonts w:hint="eastAsia" w:ascii="Times New Roman" w:hAnsi="Times New Roman" w:eastAsia="方正仿宋_GB2312" w:cs="仿宋"/>
          <w:sz w:val="32"/>
          <w:szCs w:val="32"/>
          <w:highlight w:val="none"/>
          <w:lang w:val="en-US"/>
        </w:rPr>
      </w:pPr>
      <w:bookmarkStart w:id="55" w:name="_Toc7337"/>
      <w:bookmarkStart w:id="56" w:name="_Toc16517"/>
      <w:bookmarkStart w:id="57" w:name="_Toc24443"/>
      <w:bookmarkStart w:id="58" w:name="_Toc20038"/>
      <w:bookmarkStart w:id="59" w:name="_Toc28662"/>
      <w:bookmarkStart w:id="60" w:name="_Toc30385"/>
      <w:bookmarkStart w:id="61" w:name="_Toc11004"/>
      <w:bookmarkStart w:id="62" w:name="_Toc21591"/>
      <w:bookmarkStart w:id="63" w:name="_Toc9566"/>
      <w:r>
        <w:rPr>
          <w:rFonts w:hint="eastAsia" w:ascii="Times New Roman" w:hAnsi="Times New Roman" w:eastAsia="方正仿宋_GB2312" w:cs="仿宋"/>
          <w:sz w:val="32"/>
          <w:szCs w:val="32"/>
          <w:highlight w:val="none"/>
          <w:lang w:val="en-US"/>
        </w:rPr>
        <w:t>2.绩效评价对象和范围</w:t>
      </w:r>
      <w:bookmarkEnd w:id="55"/>
      <w:bookmarkEnd w:id="56"/>
      <w:bookmarkEnd w:id="57"/>
      <w:bookmarkEnd w:id="58"/>
      <w:bookmarkEnd w:id="59"/>
      <w:bookmarkEnd w:id="60"/>
      <w:bookmarkEnd w:id="61"/>
      <w:bookmarkEnd w:id="62"/>
      <w:bookmarkEnd w:id="63"/>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sz w:val="32"/>
          <w:szCs w:val="32"/>
          <w:highlight w:val="none"/>
        </w:rPr>
      </w:pPr>
      <w:r>
        <w:rPr>
          <w:rFonts w:hint="eastAsia" w:ascii="Times New Roman" w:hAnsi="Times New Roman" w:eastAsia="方正仿宋_GB2312" w:cs="仿宋"/>
          <w:sz w:val="32"/>
          <w:szCs w:val="32"/>
          <w:highlight w:val="none"/>
        </w:rPr>
        <w:t>本次绩效评价的对象为</w:t>
      </w:r>
      <w:r>
        <w:rPr>
          <w:rFonts w:hint="eastAsia" w:ascii="Times New Roman" w:hAnsi="Times New Roman" w:eastAsia="方正仿宋_GB2312" w:cs="仿宋"/>
          <w:sz w:val="32"/>
          <w:szCs w:val="32"/>
          <w:highlight w:val="none"/>
          <w:lang w:val="en-US" w:eastAsia="zh-CN"/>
        </w:rPr>
        <w:t>少数民族刊物业务补助项目</w:t>
      </w:r>
      <w:r>
        <w:rPr>
          <w:rFonts w:hint="eastAsia" w:ascii="Times New Roman" w:hAnsi="Times New Roman" w:eastAsia="方正仿宋_GB2312" w:cs="仿宋"/>
          <w:sz w:val="32"/>
          <w:szCs w:val="32"/>
          <w:highlight w:val="none"/>
        </w:rPr>
        <w:t>。评价范围为项目实施管理的规范性，资金支出的合理</w:t>
      </w:r>
      <w:r>
        <w:rPr>
          <w:rFonts w:hint="eastAsia" w:ascii="Times New Roman" w:hAnsi="Times New Roman" w:eastAsia="方正仿宋_GB2312" w:cs="仿宋"/>
          <w:sz w:val="32"/>
          <w:szCs w:val="32"/>
          <w:highlight w:val="none"/>
          <w:lang w:val="en-US" w:eastAsia="zh-CN"/>
        </w:rPr>
        <w:t>性</w:t>
      </w:r>
      <w:r>
        <w:rPr>
          <w:rFonts w:hint="eastAsia" w:ascii="Times New Roman" w:hAnsi="Times New Roman" w:eastAsia="方正仿宋_GB2312" w:cs="仿宋"/>
          <w:sz w:val="32"/>
          <w:szCs w:val="32"/>
          <w:highlight w:val="none"/>
        </w:rPr>
        <w:t>、合规性、工作成果的达成情况，以及相关制度的健全性。</w:t>
      </w: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textAlignment w:val="auto"/>
        <w:rPr>
          <w:rFonts w:hint="eastAsia" w:ascii="Times New Roman" w:hAnsi="Times New Roman" w:eastAsia="方正仿宋_GB2312" w:cs="仿宋"/>
          <w:sz w:val="32"/>
          <w:szCs w:val="32"/>
          <w:highlight w:val="none"/>
          <w:lang w:val="en-US"/>
        </w:rPr>
      </w:pPr>
      <w:bookmarkStart w:id="64" w:name="_Toc12183"/>
      <w:bookmarkStart w:id="65" w:name="_Toc2721"/>
      <w:bookmarkStart w:id="66" w:name="_Toc19520"/>
      <w:bookmarkStart w:id="67" w:name="_Toc12302"/>
      <w:bookmarkStart w:id="68" w:name="_Toc4409"/>
      <w:bookmarkStart w:id="69" w:name="_Toc3815"/>
      <w:bookmarkStart w:id="70" w:name="_Toc23993"/>
      <w:bookmarkStart w:id="71" w:name="_Toc20266"/>
      <w:bookmarkStart w:id="72" w:name="_Toc24415"/>
      <w:r>
        <w:rPr>
          <w:rFonts w:hint="eastAsia" w:ascii="Times New Roman" w:hAnsi="Times New Roman" w:eastAsia="方正仿宋_GB2312" w:cs="仿宋"/>
          <w:sz w:val="32"/>
          <w:szCs w:val="32"/>
          <w:highlight w:val="none"/>
          <w:lang w:val="en-US"/>
        </w:rPr>
        <w:t>3.绩效评价时段的确定</w:t>
      </w:r>
      <w:bookmarkEnd w:id="64"/>
      <w:bookmarkEnd w:id="65"/>
      <w:bookmarkEnd w:id="66"/>
      <w:bookmarkEnd w:id="67"/>
      <w:bookmarkEnd w:id="68"/>
      <w:bookmarkEnd w:id="69"/>
      <w:bookmarkEnd w:id="70"/>
      <w:bookmarkEnd w:id="71"/>
      <w:bookmarkEnd w:id="72"/>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sz w:val="32"/>
          <w:szCs w:val="32"/>
          <w:highlight w:val="none"/>
        </w:rPr>
      </w:pPr>
      <w:r>
        <w:rPr>
          <w:rFonts w:hint="eastAsia" w:ascii="Times New Roman" w:hAnsi="Times New Roman" w:eastAsia="方正仿宋_GB2312" w:cs="仿宋"/>
          <w:sz w:val="32"/>
          <w:szCs w:val="32"/>
          <w:highlight w:val="none"/>
        </w:rPr>
        <w:t>本次绩效评价的时段为20</w:t>
      </w:r>
      <w:r>
        <w:rPr>
          <w:rFonts w:hint="eastAsia" w:ascii="Times New Roman" w:hAnsi="Times New Roman" w:eastAsia="方正仿宋_GB2312" w:cs="仿宋"/>
          <w:sz w:val="32"/>
          <w:szCs w:val="32"/>
          <w:highlight w:val="none"/>
          <w:lang w:val="en-US" w:eastAsia="zh-CN"/>
        </w:rPr>
        <w:t>25</w:t>
      </w:r>
      <w:r>
        <w:rPr>
          <w:rFonts w:hint="eastAsia" w:ascii="Times New Roman" w:hAnsi="Times New Roman" w:eastAsia="方正仿宋_GB2312" w:cs="仿宋"/>
          <w:sz w:val="32"/>
          <w:szCs w:val="32"/>
          <w:highlight w:val="none"/>
        </w:rPr>
        <w:t>年1月至20</w:t>
      </w:r>
      <w:r>
        <w:rPr>
          <w:rFonts w:hint="eastAsia" w:ascii="Times New Roman" w:hAnsi="Times New Roman" w:eastAsia="方正仿宋_GB2312" w:cs="仿宋"/>
          <w:sz w:val="32"/>
          <w:szCs w:val="32"/>
          <w:highlight w:val="none"/>
          <w:lang w:val="en-US"/>
        </w:rPr>
        <w:t>2</w:t>
      </w:r>
      <w:r>
        <w:rPr>
          <w:rFonts w:hint="eastAsia" w:ascii="Times New Roman" w:hAnsi="Times New Roman" w:eastAsia="方正仿宋_GB2312" w:cs="仿宋"/>
          <w:sz w:val="32"/>
          <w:szCs w:val="32"/>
          <w:highlight w:val="none"/>
          <w:lang w:val="en-US" w:eastAsia="zh-CN"/>
        </w:rPr>
        <w:t>5</w:t>
      </w:r>
      <w:r>
        <w:rPr>
          <w:rFonts w:hint="eastAsia" w:ascii="Times New Roman" w:hAnsi="Times New Roman" w:eastAsia="方正仿宋_GB2312" w:cs="仿宋"/>
          <w:sz w:val="32"/>
          <w:szCs w:val="32"/>
          <w:highlight w:val="none"/>
        </w:rPr>
        <w:t>年12月。</w:t>
      </w:r>
    </w:p>
    <w:p>
      <w:pPr>
        <w:pStyle w:val="3"/>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jc w:val="left"/>
        <w:textAlignment w:val="auto"/>
        <w:rPr>
          <w:rFonts w:hint="eastAsia" w:ascii="Times New Roman" w:hAnsi="Times New Roman" w:eastAsia="方正仿宋_GB2312" w:cs="仿宋"/>
          <w:sz w:val="32"/>
          <w:szCs w:val="32"/>
          <w:highlight w:val="none"/>
          <w:lang w:val="en-US"/>
        </w:rPr>
      </w:pPr>
      <w:bookmarkStart w:id="73" w:name="_Toc5206"/>
      <w:r>
        <w:rPr>
          <w:rFonts w:hint="eastAsia" w:ascii="Times New Roman" w:hAnsi="Times New Roman" w:eastAsia="方正仿宋_GB2312" w:cs="仿宋"/>
          <w:sz w:val="32"/>
          <w:szCs w:val="32"/>
          <w:highlight w:val="none"/>
          <w:lang w:val="en-US"/>
        </w:rPr>
        <w:t>（二）绩效评价的原则、方法、体系、标准</w:t>
      </w:r>
      <w:bookmarkEnd w:id="73"/>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textAlignment w:val="auto"/>
        <w:rPr>
          <w:rFonts w:hint="eastAsia" w:ascii="Times New Roman" w:hAnsi="Times New Roman" w:eastAsia="方正仿宋_GB2312" w:cs="仿宋"/>
          <w:sz w:val="32"/>
          <w:szCs w:val="32"/>
          <w:highlight w:val="none"/>
          <w:lang w:val="en-US"/>
        </w:rPr>
      </w:pPr>
      <w:bookmarkStart w:id="74" w:name="_Toc18501"/>
      <w:bookmarkStart w:id="75" w:name="_Toc3583"/>
      <w:bookmarkStart w:id="76" w:name="_Toc21410"/>
      <w:bookmarkStart w:id="77" w:name="_Toc4687"/>
      <w:bookmarkStart w:id="78" w:name="_Toc812"/>
      <w:bookmarkStart w:id="79" w:name="_Toc32277"/>
      <w:bookmarkStart w:id="80" w:name="_Toc21332"/>
      <w:bookmarkStart w:id="81" w:name="_Toc3521"/>
      <w:bookmarkStart w:id="82" w:name="_Toc25102"/>
      <w:r>
        <w:rPr>
          <w:rFonts w:hint="eastAsia" w:ascii="Times New Roman" w:hAnsi="Times New Roman" w:eastAsia="方正仿宋_GB2312" w:cs="仿宋"/>
          <w:sz w:val="32"/>
          <w:szCs w:val="32"/>
          <w:highlight w:val="none"/>
          <w:lang w:val="en-US"/>
        </w:rPr>
        <w:t>1.绩效评价的原则</w:t>
      </w:r>
      <w:bookmarkEnd w:id="74"/>
      <w:bookmarkEnd w:id="75"/>
      <w:bookmarkEnd w:id="76"/>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绩效评价应当遵循以下基本原则：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（1）科学公正。绩效评价运用科学合理的方法，按照规范的程序，对项目绩效进行客观、公正的反映；</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w:t>
      </w:r>
      <w:r>
        <w:rPr>
          <w:rFonts w:hint="eastAsia" w:ascii="Times New Roman" w:hAnsi="Times New Roman" w:eastAsia="方正仿宋_GB2312"/>
          <w:sz w:val="32"/>
          <w:szCs w:val="32"/>
          <w:highlight w:val="none"/>
          <w:lang w:val="en-US" w:eastAsia="zh-CN"/>
        </w:rPr>
        <w:t>2</w:t>
      </w:r>
      <w:r>
        <w:rPr>
          <w:rFonts w:hint="eastAsia" w:ascii="Times New Roman" w:hAnsi="Times New Roman" w:eastAsia="方正仿宋_GB2312"/>
          <w:sz w:val="32"/>
          <w:szCs w:val="32"/>
          <w:highlight w:val="none"/>
          <w:lang w:val="en-US"/>
        </w:rPr>
        <w:t>）统筹兼顾。单位自评和部门评价职责明确，各有侧重，相互衔接。单位自评由项目单位自主实施，部门评价在单位自评的基础上开展；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w:t>
      </w:r>
      <w:r>
        <w:rPr>
          <w:rFonts w:hint="eastAsia" w:ascii="Times New Roman" w:hAnsi="Times New Roman" w:eastAsia="方正仿宋_GB2312"/>
          <w:sz w:val="32"/>
          <w:szCs w:val="32"/>
          <w:highlight w:val="none"/>
          <w:lang w:val="en-US" w:eastAsia="zh-CN"/>
        </w:rPr>
        <w:t>3</w:t>
      </w:r>
      <w:r>
        <w:rPr>
          <w:rFonts w:hint="eastAsia" w:ascii="Times New Roman" w:hAnsi="Times New Roman" w:eastAsia="方正仿宋_GB2312"/>
          <w:sz w:val="32"/>
          <w:szCs w:val="32"/>
          <w:highlight w:val="none"/>
          <w:lang w:val="en-US"/>
        </w:rPr>
        <w:t>）激励约束。绩效评价结果与预算安排、政策调整、改进管理实质性挂钩，体现奖优罚劣和激励相容导向，有效要安排、低效要压减、无效要问责；</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w:t>
      </w:r>
      <w:r>
        <w:rPr>
          <w:rFonts w:hint="eastAsia" w:ascii="Times New Roman" w:hAnsi="Times New Roman" w:eastAsia="方正仿宋_GB2312"/>
          <w:sz w:val="32"/>
          <w:szCs w:val="32"/>
          <w:highlight w:val="none"/>
          <w:lang w:val="en-US" w:eastAsia="zh-CN"/>
        </w:rPr>
        <w:t>4</w:t>
      </w:r>
      <w:r>
        <w:rPr>
          <w:rFonts w:hint="eastAsia" w:ascii="Times New Roman" w:hAnsi="Times New Roman" w:eastAsia="方正仿宋_GB2312"/>
          <w:sz w:val="32"/>
          <w:szCs w:val="32"/>
          <w:highlight w:val="none"/>
          <w:lang w:val="en-US"/>
        </w:rPr>
        <w:t>）公开透明。绩效评价结果依法依规公开，并自觉接受社会监督。</w:t>
      </w: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textAlignment w:val="auto"/>
        <w:rPr>
          <w:rFonts w:hint="eastAsia" w:ascii="Times New Roman" w:hAnsi="Times New Roman" w:eastAsia="方正仿宋_GB2312" w:cs="仿宋"/>
          <w:sz w:val="32"/>
          <w:szCs w:val="32"/>
          <w:highlight w:val="none"/>
          <w:lang w:val="en-US"/>
        </w:rPr>
      </w:pPr>
      <w:bookmarkStart w:id="83" w:name="_Toc30704"/>
      <w:bookmarkStart w:id="84" w:name="_Toc31731"/>
      <w:bookmarkStart w:id="85" w:name="_Toc23662"/>
      <w:bookmarkStart w:id="86" w:name="_Toc22649"/>
      <w:bookmarkStart w:id="87" w:name="_Toc26631"/>
      <w:bookmarkStart w:id="88" w:name="_Toc28722"/>
      <w:bookmarkStart w:id="89" w:name="_Toc29487"/>
      <w:bookmarkStart w:id="90" w:name="_Toc3447"/>
      <w:bookmarkStart w:id="91" w:name="_Toc29330"/>
      <w:r>
        <w:rPr>
          <w:rFonts w:hint="eastAsia" w:ascii="Times New Roman" w:hAnsi="Times New Roman" w:eastAsia="方正仿宋_GB2312" w:cs="仿宋"/>
          <w:sz w:val="32"/>
          <w:szCs w:val="32"/>
          <w:highlight w:val="none"/>
          <w:lang w:val="en-US"/>
        </w:rPr>
        <w:t>2.绩效评价的方法</w:t>
      </w:r>
      <w:bookmarkEnd w:id="83"/>
      <w:bookmarkEnd w:id="84"/>
      <w:bookmarkEnd w:id="85"/>
      <w:bookmarkEnd w:id="86"/>
      <w:bookmarkEnd w:id="87"/>
      <w:bookmarkEnd w:id="88"/>
      <w:bookmarkEnd w:id="89"/>
      <w:bookmarkEnd w:id="90"/>
      <w:bookmarkEnd w:id="91"/>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0" w:firstLineChars="200"/>
        <w:textAlignment w:val="auto"/>
        <w:rPr>
          <w:rFonts w:hint="eastAsia" w:ascii="Times New Roman" w:hAnsi="Times New Roman" w:eastAsia="方正仿宋_GB2312" w:cs="仿宋"/>
          <w:b w:val="0"/>
          <w:bCs w:val="0"/>
          <w:sz w:val="32"/>
          <w:szCs w:val="32"/>
          <w:highlight w:val="none"/>
          <w:lang w:val="en-US" w:eastAsia="zh-CN" w:bidi="zh-CN"/>
        </w:rPr>
      </w:pPr>
      <w:bookmarkStart w:id="92" w:name="_Toc6583"/>
      <w:bookmarkStart w:id="93" w:name="_Toc1247"/>
      <w:bookmarkStart w:id="94" w:name="_Toc26985"/>
      <w:bookmarkStart w:id="95" w:name="_Toc23992"/>
      <w:bookmarkStart w:id="96" w:name="_Toc32265"/>
      <w:bookmarkStart w:id="97" w:name="_Toc10615"/>
      <w:bookmarkStart w:id="98" w:name="_Toc27033"/>
      <w:bookmarkStart w:id="99" w:name="_Toc29758"/>
      <w:bookmarkStart w:id="100" w:name="_Toc5860"/>
      <w:r>
        <w:rPr>
          <w:rFonts w:hint="eastAsia" w:ascii="Times New Roman" w:hAnsi="Times New Roman" w:eastAsia="方正仿宋_GB2312" w:cs="仿宋"/>
          <w:b w:val="0"/>
          <w:bCs w:val="0"/>
          <w:sz w:val="32"/>
          <w:szCs w:val="32"/>
          <w:highlight w:val="none"/>
          <w:lang w:val="en-US" w:eastAsia="zh-CN" w:bidi="zh-CN"/>
        </w:rPr>
        <w:t>（1）成本效益分析法。以最小成本获得最大收益为目标，将全部成本和预期效益进行对比，评价项目投入价值。</w:t>
      </w:r>
      <w:bookmarkEnd w:id="92"/>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0" w:firstLineChars="200"/>
        <w:textAlignment w:val="auto"/>
        <w:rPr>
          <w:rFonts w:hint="eastAsia" w:ascii="Times New Roman" w:hAnsi="Times New Roman" w:eastAsia="方正仿宋_GB2312" w:cs="仿宋"/>
          <w:b w:val="0"/>
          <w:bCs w:val="0"/>
          <w:sz w:val="32"/>
          <w:szCs w:val="32"/>
          <w:highlight w:val="none"/>
          <w:lang w:val="en-US" w:eastAsia="zh-CN" w:bidi="zh-CN"/>
        </w:rPr>
      </w:pPr>
      <w:bookmarkStart w:id="101" w:name="_Toc9469"/>
      <w:r>
        <w:rPr>
          <w:rFonts w:hint="eastAsia" w:ascii="Times New Roman" w:hAnsi="Times New Roman" w:eastAsia="方正仿宋_GB2312" w:cs="仿宋"/>
          <w:b w:val="0"/>
          <w:bCs w:val="0"/>
          <w:sz w:val="32"/>
          <w:szCs w:val="32"/>
          <w:highlight w:val="none"/>
          <w:lang w:val="en-US" w:eastAsia="zh-CN" w:bidi="zh-CN"/>
        </w:rPr>
        <w:t>（2）比较法。通过对绩效目标与实施效果的比较，综合分析绩效目标实施程度。</w:t>
      </w:r>
      <w:bookmarkEnd w:id="101"/>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0" w:firstLineChars="200"/>
        <w:textAlignment w:val="auto"/>
        <w:rPr>
          <w:rFonts w:hint="eastAsia" w:ascii="Times New Roman" w:hAnsi="Times New Roman" w:eastAsia="方正仿宋_GB2312" w:cs="仿宋"/>
          <w:b w:val="0"/>
          <w:bCs w:val="0"/>
          <w:sz w:val="32"/>
          <w:szCs w:val="32"/>
          <w:highlight w:val="none"/>
          <w:lang w:val="en-US" w:eastAsia="zh-CN" w:bidi="zh-CN"/>
        </w:rPr>
      </w:pPr>
      <w:bookmarkStart w:id="102" w:name="_Toc14217"/>
      <w:r>
        <w:rPr>
          <w:rFonts w:hint="eastAsia" w:ascii="Times New Roman" w:hAnsi="Times New Roman" w:eastAsia="方正仿宋_GB2312" w:cs="仿宋"/>
          <w:b w:val="0"/>
          <w:bCs w:val="0"/>
          <w:sz w:val="32"/>
          <w:szCs w:val="32"/>
          <w:highlight w:val="none"/>
          <w:lang w:val="en-US" w:eastAsia="zh-CN" w:bidi="zh-CN"/>
        </w:rPr>
        <w:t>（3）因素分析法。通过综合分析影响绩效目标实现、实施效果的内外因素，评价绩效目标实现程度。</w:t>
      </w:r>
      <w:bookmarkEnd w:id="102"/>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0" w:firstLineChars="200"/>
        <w:textAlignment w:val="auto"/>
        <w:rPr>
          <w:rFonts w:hint="eastAsia" w:ascii="Times New Roman" w:hAnsi="Times New Roman" w:eastAsia="方正仿宋_GB2312" w:cs="仿宋"/>
          <w:b w:val="0"/>
          <w:bCs w:val="0"/>
          <w:sz w:val="32"/>
          <w:szCs w:val="32"/>
          <w:highlight w:val="none"/>
          <w:lang w:val="en-US" w:eastAsia="zh-CN" w:bidi="zh-CN"/>
        </w:rPr>
      </w:pPr>
      <w:bookmarkStart w:id="103" w:name="_Toc21887"/>
      <w:r>
        <w:rPr>
          <w:rFonts w:hint="eastAsia" w:ascii="Times New Roman" w:hAnsi="Times New Roman" w:eastAsia="方正仿宋_GB2312" w:cs="仿宋"/>
          <w:b w:val="0"/>
          <w:bCs w:val="0"/>
          <w:sz w:val="32"/>
          <w:szCs w:val="32"/>
          <w:highlight w:val="none"/>
          <w:lang w:val="en-US" w:eastAsia="zh-CN" w:bidi="zh-CN"/>
        </w:rPr>
        <w:t>（4）公众评判法。通过专家评估、公众问卷及抽样调查等对支出效果进行评判，评价绩效目标实现程度。</w:t>
      </w:r>
      <w:bookmarkEnd w:id="103"/>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textAlignment w:val="auto"/>
        <w:rPr>
          <w:rFonts w:ascii="Times New Roman" w:hAnsi="Times New Roman" w:eastAsia="方正仿宋_GB2312"/>
          <w:sz w:val="32"/>
          <w:szCs w:val="32"/>
          <w:highlight w:val="none"/>
          <w:lang w:val="en-US"/>
        </w:rPr>
      </w:pPr>
      <w:bookmarkStart w:id="104" w:name="_Toc25281"/>
      <w:r>
        <w:rPr>
          <w:rFonts w:hint="eastAsia" w:ascii="Times New Roman" w:hAnsi="Times New Roman" w:eastAsia="方正仿宋_GB2312" w:cs="仿宋"/>
          <w:sz w:val="32"/>
          <w:szCs w:val="32"/>
          <w:highlight w:val="none"/>
          <w:lang w:val="en-US"/>
        </w:rPr>
        <w:t>3.</w:t>
      </w:r>
      <w:r>
        <w:rPr>
          <w:rFonts w:hint="eastAsia" w:ascii="Times New Roman" w:hAnsi="Times New Roman" w:eastAsia="方正仿宋_GB2312"/>
          <w:sz w:val="32"/>
          <w:szCs w:val="32"/>
          <w:highlight w:val="none"/>
          <w:lang w:val="en-US"/>
        </w:rPr>
        <w:t>绩效评价的指标体系</w:t>
      </w:r>
      <w:bookmarkEnd w:id="93"/>
      <w:bookmarkEnd w:id="94"/>
      <w:bookmarkEnd w:id="95"/>
      <w:bookmarkEnd w:id="96"/>
      <w:bookmarkEnd w:id="97"/>
      <w:bookmarkEnd w:id="98"/>
      <w:bookmarkEnd w:id="99"/>
      <w:bookmarkEnd w:id="100"/>
      <w:bookmarkEnd w:id="104"/>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ascii="Times New Roman" w:hAnsi="Times New Roman" w:eastAsia="方正仿宋_GB2312"/>
          <w:b/>
          <w:bCs/>
          <w:sz w:val="32"/>
          <w:szCs w:val="32"/>
          <w:highlight w:val="none"/>
          <w:lang w:val="en-US"/>
        </w:rPr>
      </w:pPr>
      <w:r>
        <w:rPr>
          <w:rFonts w:hint="eastAsia" w:ascii="Times New Roman" w:hAnsi="Times New Roman" w:eastAsia="方正仿宋_GB2312"/>
          <w:b/>
          <w:bCs/>
          <w:sz w:val="32"/>
          <w:szCs w:val="32"/>
          <w:highlight w:val="none"/>
          <w:lang w:val="en-US"/>
        </w:rPr>
        <w:t>（1）指标体系设计的总体思路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根据绩效评价的基本原理、原则和预算绩效管理的相关要求，结合被评价项目的特点，由项目组按照逻辑分析法，参考《项目支出绩效评价指标体系框架》和绩效目标申报表，设计本次绩效评价的指标体系。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按照逻辑分析法，</w:t>
      </w:r>
      <w:r>
        <w:rPr>
          <w:rFonts w:hint="eastAsia" w:ascii="Times New Roman" w:hAnsi="Times New Roman" w:eastAsia="方正仿宋_GB2312"/>
          <w:sz w:val="32"/>
          <w:szCs w:val="32"/>
          <w:highlight w:val="none"/>
          <w:lang w:val="en-US" w:eastAsia="zh-CN"/>
        </w:rPr>
        <w:t>少数民族刊物业务补助项目</w:t>
      </w:r>
      <w:r>
        <w:rPr>
          <w:rFonts w:hint="eastAsia" w:ascii="Times New Roman" w:hAnsi="Times New Roman" w:eastAsia="方正仿宋_GB2312"/>
          <w:sz w:val="32"/>
          <w:szCs w:val="32"/>
          <w:highlight w:val="none"/>
          <w:lang w:val="en-US"/>
        </w:rPr>
        <w:t>绩效评价指标体系包括投入、过程、产出、</w:t>
      </w:r>
      <w:r>
        <w:rPr>
          <w:rFonts w:hint="eastAsia" w:ascii="Times New Roman" w:hAnsi="Times New Roman" w:eastAsia="方正仿宋_GB2312"/>
          <w:sz w:val="32"/>
          <w:szCs w:val="32"/>
          <w:highlight w:val="none"/>
          <w:lang w:val="en-US" w:eastAsia="zh-CN"/>
        </w:rPr>
        <w:t>效益</w:t>
      </w:r>
      <w:r>
        <w:rPr>
          <w:rFonts w:hint="eastAsia" w:ascii="Times New Roman" w:hAnsi="Times New Roman" w:eastAsia="方正仿宋_GB2312"/>
          <w:sz w:val="32"/>
          <w:szCs w:val="32"/>
          <w:highlight w:val="none"/>
          <w:lang w:val="en-US"/>
        </w:rPr>
        <w:t>四部分内容，由三级指标构成；在三级指标的基础上，进行了进一步的细化和分解，其中，一级指标和二级指标按照《项目支出绩效评价指标体系框架》设置；三级指标，尤其是产出类和</w:t>
      </w:r>
      <w:r>
        <w:rPr>
          <w:rFonts w:hint="eastAsia" w:ascii="Times New Roman" w:hAnsi="Times New Roman" w:eastAsia="方正仿宋_GB2312"/>
          <w:sz w:val="32"/>
          <w:szCs w:val="32"/>
          <w:highlight w:val="none"/>
          <w:lang w:val="en-US" w:eastAsia="zh-CN"/>
        </w:rPr>
        <w:t>效益</w:t>
      </w:r>
      <w:r>
        <w:rPr>
          <w:rFonts w:hint="eastAsia" w:ascii="Times New Roman" w:hAnsi="Times New Roman" w:eastAsia="方正仿宋_GB2312"/>
          <w:sz w:val="32"/>
          <w:szCs w:val="32"/>
          <w:highlight w:val="none"/>
          <w:lang w:val="en-US"/>
        </w:rPr>
        <w:t>类指标，针对本项目特点进行个性化设计。在权重分配时，根据各个部分和绩效指标的重要程度、资金占比等因素，同时考虑项目管理过程对项目绩效的影响等进行设定。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rPr>
        <w:t>根据项目绩效目标和管理要求，结合本次评价的重点和目的，在指标体系中设计具体的个性化指标，以反映项目完成情况。</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jc w:val="both"/>
        <w:textAlignment w:val="auto"/>
        <w:rPr>
          <w:rFonts w:hint="eastAsia" w:ascii="Times New Roman" w:hAnsi="Times New Roman" w:eastAsia="方正仿宋_GB2312"/>
          <w:sz w:val="32"/>
          <w:szCs w:val="32"/>
          <w:highlight w:val="none"/>
          <w:lang w:val="en-US"/>
        </w:rPr>
      </w:pPr>
    </w:p>
    <w:p>
      <w:pPr>
        <w:keepNext/>
        <w:keepLines w:val="0"/>
        <w:pageBreakBefore w:val="0"/>
        <w:kinsoku/>
        <w:wordWrap/>
        <w:overflowPunct/>
        <w:topLinePunct w:val="0"/>
        <w:bidi w:val="0"/>
        <w:adjustRightInd/>
        <w:spacing w:before="240" w:line="240" w:lineRule="auto"/>
        <w:jc w:val="center"/>
        <w:rPr>
          <w:rFonts w:hint="eastAsia" w:ascii="Times New Roman" w:hAnsi="Times New Roman" w:eastAsia="方正仿宋_GB2312"/>
          <w:sz w:val="32"/>
          <w:szCs w:val="32"/>
          <w:highlight w:val="none"/>
          <w:lang w:val="en-US"/>
        </w:rPr>
      </w:pPr>
      <w:r>
        <w:rPr>
          <w:rFonts w:hint="eastAsia" w:ascii="Times New Roman" w:hAnsi="Times New Roman" w:eastAsia="方正仿宋_GB2312" w:cs="仿宋"/>
          <w:spacing w:val="-7"/>
          <w:sz w:val="30"/>
          <w:szCs w:val="30"/>
          <w:lang w:val="en-US" w:eastAsia="zh-CN"/>
          <w14:textOutline w14:w="5448" w14:cap="sq" w14:cmpd="sng">
            <w14:solidFill>
              <w14:srgbClr w14:val="000000"/>
            </w14:solidFill>
            <w14:prstDash w14:val="solid"/>
            <w14:bevel/>
          </w14:textOutline>
        </w:rPr>
        <w:t>表2：</w:t>
      </w:r>
      <w:r>
        <w:rPr>
          <w:rFonts w:ascii="Times New Roman" w:hAnsi="Times New Roman" w:eastAsia="方正仿宋_GB2312" w:cs="仿宋"/>
          <w:spacing w:val="-7"/>
          <w:sz w:val="30"/>
          <w:szCs w:val="30"/>
          <w14:textOutline w14:w="5448" w14:cap="sq" w14:cmpd="sng">
            <w14:solidFill>
              <w14:srgbClr w14:val="000000"/>
            </w14:solidFill>
            <w14:prstDash w14:val="solid"/>
            <w14:bevel/>
          </w14:textOutline>
        </w:rPr>
        <w:t>评价指标体系</w:t>
      </w:r>
    </w:p>
    <w:tbl>
      <w:tblPr>
        <w:tblStyle w:val="33"/>
        <w:tblW w:w="90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62"/>
        <w:gridCol w:w="476"/>
        <w:gridCol w:w="588"/>
        <w:gridCol w:w="465"/>
        <w:gridCol w:w="600"/>
        <w:gridCol w:w="554"/>
        <w:gridCol w:w="2412"/>
        <w:gridCol w:w="34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blHeader/>
          <w:jc w:val="center"/>
        </w:trPr>
        <w:tc>
          <w:tcPr>
            <w:tcW w:w="562"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55" w:line="240" w:lineRule="auto"/>
              <w:ind w:left="0" w:leftChars="0" w:right="0" w:rightChars="0" w:firstLine="0" w:firstLineChars="0"/>
              <w:jc w:val="center"/>
              <w:rPr>
                <w:rFonts w:hint="eastAsia" w:ascii="Times New Roman" w:hAnsi="Times New Roman" w:eastAsia="方正仿宋_GB2312" w:cs="仿宋"/>
                <w:b/>
                <w:i w:val="0"/>
                <w:color w:val="000000" w:themeColor="dark1"/>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2"/>
                <w:szCs w:val="22"/>
                <w14:textFill>
                  <w14:solidFill>
                    <w14:schemeClr w14:val="dk1"/>
                  </w14:solidFill>
                </w14:textFill>
              </w:rPr>
              <w:t>一级</w:t>
            </w:r>
            <w:r>
              <w:rPr>
                <w:rFonts w:hint="eastAsia" w:ascii="Times New Roman" w:hAnsi="Times New Roman" w:eastAsia="方正仿宋_GB2312" w:cs="仿宋"/>
                <w:b/>
                <w:i w:val="0"/>
                <w:color w:val="000000" w:themeColor="dark1"/>
                <w:spacing w:val="-7"/>
                <w:sz w:val="22"/>
                <w:szCs w:val="22"/>
                <w14:textFill>
                  <w14:solidFill>
                    <w14:schemeClr w14:val="dk1"/>
                  </w14:solidFill>
                </w14:textFill>
              </w:rPr>
              <w:t>指标</w:t>
            </w:r>
          </w:p>
        </w:tc>
        <w:tc>
          <w:tcPr>
            <w:tcW w:w="476"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08" w:line="240" w:lineRule="auto"/>
              <w:ind w:left="0" w:leftChars="0" w:right="0" w:rightChars="0" w:firstLine="0" w:firstLineChars="0"/>
              <w:jc w:val="center"/>
              <w:rPr>
                <w:rFonts w:hint="eastAsia" w:ascii="Times New Roman" w:hAnsi="Times New Roman" w:eastAsia="方正仿宋_GB2312" w:cs="仿宋"/>
                <w:b/>
                <w:i w:val="0"/>
                <w:color w:val="000000" w:themeColor="dark1"/>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6"/>
                <w:sz w:val="22"/>
                <w:szCs w:val="22"/>
                <w14:textFill>
                  <w14:solidFill>
                    <w14:schemeClr w14:val="dk1"/>
                  </w14:solidFill>
                </w14:textFill>
              </w:rPr>
              <w:t>分值</w:t>
            </w:r>
          </w:p>
        </w:tc>
        <w:tc>
          <w:tcPr>
            <w:tcW w:w="588"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55" w:line="240" w:lineRule="auto"/>
              <w:ind w:left="0" w:leftChars="0" w:right="0" w:rightChars="0" w:firstLine="0" w:firstLineChars="0"/>
              <w:jc w:val="center"/>
              <w:rPr>
                <w:rFonts w:hint="eastAsia" w:ascii="Times New Roman" w:hAnsi="Times New Roman" w:eastAsia="方正仿宋_GB2312" w:cs="仿宋"/>
                <w:b/>
                <w:i w:val="0"/>
                <w:color w:val="000000" w:themeColor="dark1"/>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2"/>
                <w:szCs w:val="22"/>
                <w:lang w:val="en-US" w:eastAsia="zh-CN"/>
                <w14:textFill>
                  <w14:solidFill>
                    <w14:schemeClr w14:val="dk1"/>
                  </w14:solidFill>
                </w14:textFill>
              </w:rPr>
              <w:t>二</w:t>
            </w:r>
            <w:r>
              <w:rPr>
                <w:rFonts w:hint="eastAsia" w:ascii="Times New Roman" w:hAnsi="Times New Roman" w:eastAsia="方正仿宋_GB2312" w:cs="仿宋"/>
                <w:b/>
                <w:i w:val="0"/>
                <w:color w:val="000000" w:themeColor="dark1"/>
                <w:spacing w:val="-1"/>
                <w:position w:val="7"/>
                <w:sz w:val="22"/>
                <w:szCs w:val="22"/>
                <w14:textFill>
                  <w14:solidFill>
                    <w14:schemeClr w14:val="dk1"/>
                  </w14:solidFill>
                </w14:textFill>
              </w:rPr>
              <w:t>级指标</w:t>
            </w:r>
          </w:p>
        </w:tc>
        <w:tc>
          <w:tcPr>
            <w:tcW w:w="465"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08" w:line="240" w:lineRule="auto"/>
              <w:ind w:left="0" w:leftChars="0" w:right="0" w:rightChars="0" w:firstLine="0" w:firstLineChars="0"/>
              <w:jc w:val="center"/>
              <w:rPr>
                <w:rFonts w:hint="eastAsia" w:ascii="Times New Roman" w:hAnsi="Times New Roman" w:eastAsia="方正仿宋_GB2312" w:cs="仿宋"/>
                <w:b/>
                <w:i w:val="0"/>
                <w:color w:val="000000" w:themeColor="dark1"/>
                <w:spacing w:val="6"/>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6"/>
                <w:sz w:val="22"/>
                <w:szCs w:val="22"/>
                <w14:textFill>
                  <w14:solidFill>
                    <w14:schemeClr w14:val="dk1"/>
                  </w14:solidFill>
                </w14:textFill>
              </w:rPr>
              <w:t>分值</w:t>
            </w:r>
          </w:p>
        </w:tc>
        <w:tc>
          <w:tcPr>
            <w:tcW w:w="600"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08" w:line="240" w:lineRule="auto"/>
              <w:ind w:left="0" w:leftChars="0" w:right="0" w:rightChars="0" w:firstLine="0" w:firstLineChars="0"/>
              <w:jc w:val="center"/>
              <w:rPr>
                <w:rFonts w:hint="eastAsia" w:ascii="Times New Roman" w:hAnsi="Times New Roman" w:eastAsia="方正仿宋_GB2312" w:cs="仿宋"/>
                <w:b/>
                <w:i w:val="0"/>
                <w:color w:val="000000" w:themeColor="dark1"/>
                <w:spacing w:val="6"/>
                <w:sz w:val="22"/>
                <w:szCs w:val="22"/>
                <w:lang w:val="en-US" w:eastAsia="zh-CN"/>
                <w14:textFill>
                  <w14:solidFill>
                    <w14:schemeClr w14:val="dk1"/>
                  </w14:solidFill>
                </w14:textFill>
              </w:rPr>
            </w:pPr>
            <w:r>
              <w:rPr>
                <w:rFonts w:hint="eastAsia" w:ascii="Times New Roman" w:hAnsi="Times New Roman" w:eastAsia="方正仿宋_GB2312" w:cs="仿宋"/>
                <w:b/>
                <w:i w:val="0"/>
                <w:color w:val="000000" w:themeColor="dark1"/>
                <w:spacing w:val="6"/>
                <w:sz w:val="22"/>
                <w:szCs w:val="22"/>
                <w:lang w:val="en-US" w:eastAsia="zh-CN"/>
                <w14:textFill>
                  <w14:solidFill>
                    <w14:schemeClr w14:val="dk1"/>
                  </w14:solidFill>
                </w14:textFill>
              </w:rPr>
              <w:t>三级指标</w:t>
            </w:r>
          </w:p>
        </w:tc>
        <w:tc>
          <w:tcPr>
            <w:tcW w:w="554"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178" w:line="240" w:lineRule="auto"/>
              <w:ind w:left="0" w:leftChars="0" w:right="0" w:rightChars="0" w:firstLine="0" w:firstLineChars="0"/>
              <w:jc w:val="center"/>
              <w:rPr>
                <w:rFonts w:hint="eastAsia" w:ascii="Times New Roman" w:hAnsi="Times New Roman" w:eastAsia="方正仿宋_GB2312" w:cs="仿宋"/>
                <w:b/>
                <w:i w:val="0"/>
                <w:color w:val="000000" w:themeColor="dark1"/>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6"/>
                <w:sz w:val="22"/>
                <w:szCs w:val="22"/>
                <w14:textFill>
                  <w14:solidFill>
                    <w14:schemeClr w14:val="dk1"/>
                  </w14:solidFill>
                </w14:textFill>
              </w:rPr>
              <w:t>分值</w:t>
            </w:r>
          </w:p>
        </w:tc>
        <w:tc>
          <w:tcPr>
            <w:tcW w:w="2412"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1" w:line="240" w:lineRule="auto"/>
              <w:ind w:left="0" w:leftChars="0" w:right="0" w:rightChars="0" w:firstLine="0" w:firstLineChars="0"/>
              <w:jc w:val="center"/>
              <w:rPr>
                <w:rFonts w:hint="eastAsia" w:ascii="Times New Roman" w:hAnsi="Times New Roman" w:eastAsia="方正仿宋_GB2312" w:cs="仿宋"/>
                <w:b/>
                <w:i w:val="0"/>
                <w:color w:val="000000" w:themeColor="dark1"/>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9"/>
                <w:sz w:val="22"/>
                <w:szCs w:val="22"/>
                <w14:textFill>
                  <w14:solidFill>
                    <w14:schemeClr w14:val="dk1"/>
                  </w14:solidFill>
                </w14:textFill>
              </w:rPr>
              <w:t>指标解释</w:t>
            </w:r>
          </w:p>
        </w:tc>
        <w:tc>
          <w:tcPr>
            <w:tcW w:w="3413"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1" w:line="240" w:lineRule="auto"/>
              <w:ind w:left="0" w:leftChars="0" w:right="0" w:rightChars="0" w:firstLine="0" w:firstLineChars="0"/>
              <w:jc w:val="center"/>
              <w:rPr>
                <w:rFonts w:hint="eastAsia" w:ascii="Times New Roman" w:hAnsi="Times New Roman" w:eastAsia="方正仿宋_GB2312" w:cs="仿宋"/>
                <w:b/>
                <w:i w:val="0"/>
                <w:color w:val="000000" w:themeColor="dark1"/>
                <w:sz w:val="22"/>
                <w:szCs w:val="22"/>
                <w14:textFill>
                  <w14:solidFill>
                    <w14:schemeClr w14:val="dk1"/>
                  </w14:solidFill>
                </w14:textFill>
              </w:rPr>
            </w:pPr>
            <w:r>
              <w:rPr>
                <w:rFonts w:hint="eastAsia" w:ascii="Times New Roman" w:hAnsi="Times New Roman" w:eastAsia="方正仿宋_GB2312" w:cs="仿宋"/>
                <w:b/>
                <w:i w:val="0"/>
                <w:color w:val="000000" w:themeColor="dark1"/>
                <w:spacing w:val="-9"/>
                <w:sz w:val="22"/>
                <w:szCs w:val="22"/>
                <w14:textFill>
                  <w14:solidFill>
                    <w14:schemeClr w14:val="dk1"/>
                  </w14:solidFill>
                </w14:textFill>
              </w:rPr>
              <w:t>评价标准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2" w:hRule="atLeast"/>
          <w:jc w:val="center"/>
        </w:trPr>
        <w:tc>
          <w:tcPr>
            <w:tcW w:w="562" w:type="dxa"/>
            <w:vMerge w:val="restar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pacing w:val="-9"/>
                <w:sz w:val="22"/>
                <w:szCs w:val="22"/>
              </w:rPr>
              <w:t>决策</w:t>
            </w:r>
          </w:p>
        </w:tc>
        <w:tc>
          <w:tcPr>
            <w:tcW w:w="476"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pacing w:val="-12"/>
                <w:sz w:val="22"/>
                <w:szCs w:val="22"/>
              </w:rPr>
              <w:t>12</w:t>
            </w:r>
          </w:p>
        </w:tc>
        <w:tc>
          <w:tcPr>
            <w:tcW w:w="588"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项</w:t>
            </w:r>
          </w:p>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目</w:t>
            </w:r>
          </w:p>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立</w:t>
            </w:r>
          </w:p>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项</w:t>
            </w:r>
          </w:p>
        </w:tc>
        <w:tc>
          <w:tcPr>
            <w:tcW w:w="46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z w:val="22"/>
                <w:szCs w:val="22"/>
              </w:rPr>
              <w:t>4</w:t>
            </w: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立项依据充分性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z w:val="22"/>
                <w:szCs w:val="22"/>
              </w:rPr>
              <w:t>2</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53"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pacing w:val="-6"/>
                <w:sz w:val="22"/>
                <w:szCs w:val="22"/>
              </w:rPr>
              <w:t>项目立项是否符合法律法规、相</w:t>
            </w:r>
            <w:r>
              <w:rPr>
                <w:rFonts w:hint="eastAsia" w:ascii="Times New Roman" w:hAnsi="Times New Roman" w:eastAsia="方正仿宋_GB2312" w:cs="仿宋"/>
                <w:b w:val="0"/>
                <w:i w:val="0"/>
                <w:color w:val="000000"/>
                <w:spacing w:val="10"/>
                <w:sz w:val="22"/>
                <w:szCs w:val="22"/>
              </w:rPr>
              <w:t>关政策、发展规划以及部门职</w:t>
            </w:r>
            <w:r>
              <w:rPr>
                <w:rFonts w:hint="eastAsia" w:ascii="Times New Roman" w:hAnsi="Times New Roman" w:eastAsia="方正仿宋_GB2312" w:cs="仿宋"/>
                <w:b w:val="0"/>
                <w:i w:val="0"/>
                <w:color w:val="000000"/>
                <w:spacing w:val="-5"/>
                <w:sz w:val="22"/>
                <w:szCs w:val="22"/>
              </w:rPr>
              <w:t>责，用以反映和考核项目立项依</w:t>
            </w:r>
            <w:r>
              <w:rPr>
                <w:rFonts w:hint="eastAsia" w:ascii="Times New Roman" w:hAnsi="Times New Roman" w:eastAsia="方正仿宋_GB2312" w:cs="仿宋"/>
                <w:b w:val="0"/>
                <w:i w:val="0"/>
                <w:color w:val="000000"/>
                <w:spacing w:val="-4"/>
                <w:sz w:val="22"/>
                <w:szCs w:val="22"/>
              </w:rPr>
              <w:t>据情况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符合法律法规、经济发展规划和相关政策要求（0.5分），与部门法定职责范围相符（0.5分），属于财政事权支出范围（0.5分），不存在重复的同类项目（0.5分）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6"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p>
        </w:tc>
        <w:tc>
          <w:tcPr>
            <w:tcW w:w="588"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p>
        </w:tc>
        <w:tc>
          <w:tcPr>
            <w:tcW w:w="46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立项程序规范性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z w:val="22"/>
                <w:szCs w:val="22"/>
              </w:rPr>
              <w:t>2</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z w:val="22"/>
                <w:szCs w:val="22"/>
              </w:rPr>
            </w:pPr>
            <w:r>
              <w:rPr>
                <w:rFonts w:hint="eastAsia" w:ascii="Times New Roman" w:hAnsi="Times New Roman" w:eastAsia="方正仿宋_GB2312" w:cs="仿宋"/>
                <w:b w:val="0"/>
                <w:i w:val="0"/>
                <w:color w:val="000000"/>
                <w:spacing w:val="-6"/>
                <w:sz w:val="22"/>
                <w:szCs w:val="22"/>
              </w:rPr>
              <w:t>项目申请、设立过程是否符合相关要求，用以反映和考核项目立</w:t>
            </w:r>
            <w:r>
              <w:rPr>
                <w:rFonts w:hint="eastAsia" w:ascii="Times New Roman" w:hAnsi="Times New Roman" w:eastAsia="方正仿宋_GB2312" w:cs="仿宋"/>
                <w:b w:val="0"/>
                <w:i w:val="0"/>
                <w:color w:val="000000"/>
                <w:spacing w:val="-4"/>
                <w:sz w:val="22"/>
                <w:szCs w:val="22"/>
              </w:rPr>
              <w:t>项的规范情况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按照规定的程序申请设立（0.5分），审批文件、材料符合相关要求（0.5分），事前经过必要的可研、专家论证、绩效评估、集体决策（1分）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p>
        </w:tc>
        <w:tc>
          <w:tcPr>
            <w:tcW w:w="588"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绩</w:t>
            </w:r>
          </w:p>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效</w:t>
            </w:r>
          </w:p>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目</w:t>
            </w:r>
          </w:p>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标</w:t>
            </w:r>
          </w:p>
        </w:tc>
        <w:tc>
          <w:tcPr>
            <w:tcW w:w="46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4</w:t>
            </w: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5"/>
                <w:sz w:val="22"/>
                <w:szCs w:val="22"/>
              </w:rPr>
              <w:t>绩效目标合理性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2</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项目所设定的绩效目标是否依据充分，是否符合客观实际，用以反映和考核项目绩效目标与项目实施的相符情况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有绩效目标（0.5分），绩效目标与实际工作内容具有相关性（0.5分），预期产出效益和效果符合正常的业绩水平（0.5分），与预算确定的资金规模相匹配（0.5分）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6"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p>
        </w:tc>
        <w:tc>
          <w:tcPr>
            <w:tcW w:w="588"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p>
        </w:tc>
        <w:tc>
          <w:tcPr>
            <w:tcW w:w="46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5"/>
                <w:sz w:val="22"/>
                <w:szCs w:val="22"/>
              </w:rPr>
            </w:pPr>
            <w:r>
              <w:rPr>
                <w:rFonts w:hint="eastAsia" w:ascii="Times New Roman" w:hAnsi="Times New Roman" w:eastAsia="方正仿宋_GB2312" w:cs="仿宋"/>
                <w:b w:val="0"/>
                <w:i w:val="0"/>
                <w:color w:val="000000"/>
                <w:spacing w:val="-6"/>
                <w:sz w:val="22"/>
                <w:szCs w:val="22"/>
              </w:rPr>
              <w:t>绩效指标明确性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6"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lang w:val="en-US" w:eastAsia="zh-CN"/>
              </w:rPr>
            </w:pPr>
            <w:r>
              <w:rPr>
                <w:rFonts w:hint="eastAsia" w:ascii="Times New Roman" w:hAnsi="Times New Roman" w:eastAsia="方正仿宋_GB2312" w:cs="仿宋"/>
                <w:b w:val="0"/>
                <w:i w:val="0"/>
                <w:color w:val="000000"/>
                <w:spacing w:val="-6"/>
                <w:sz w:val="22"/>
                <w:szCs w:val="22"/>
                <w:lang w:val="en-US" w:eastAsia="zh-CN"/>
              </w:rPr>
              <w:t>2</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依据绩效目标设定的绩效指标是否清晰、细化、可衡量等，用以反映和考核项目绩效目标的细化情况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有明确的项目目标任务数或计划数（0.5分），绩效目标细化分解为具体的绩效指标（0.5分），通过清晰、可衡量的指标值予以体现（0.5分），绩效指标值与项目目标任务数或计划数相对应（0.5分）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6"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588"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11"/>
                <w:sz w:val="22"/>
                <w:szCs w:val="22"/>
              </w:rPr>
              <w:t>资金</w:t>
            </w:r>
            <w:r>
              <w:rPr>
                <w:rFonts w:ascii="Times New Roman" w:hAnsi="Times New Roman" w:eastAsia="方正仿宋_GB2312"/>
                <w:b w:val="0"/>
                <w:i w:val="0"/>
                <w:color w:val="000000"/>
                <w:spacing w:val="-8"/>
                <w:sz w:val="22"/>
                <w:szCs w:val="22"/>
              </w:rPr>
              <w:t>投入</w:t>
            </w:r>
          </w:p>
        </w:tc>
        <w:tc>
          <w:tcPr>
            <w:tcW w:w="46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4</w:t>
            </w: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5"/>
                <w:sz w:val="22"/>
                <w:szCs w:val="22"/>
              </w:rPr>
              <w:t>预算编制科学</w:t>
            </w:r>
            <w:r>
              <w:rPr>
                <w:rFonts w:ascii="Times New Roman" w:hAnsi="Times New Roman" w:eastAsia="方正仿宋_GB2312"/>
                <w:b w:val="0"/>
                <w:i w:val="0"/>
                <w:color w:val="000000"/>
                <w:sz w:val="22"/>
                <w:szCs w:val="22"/>
              </w:rPr>
              <w:t>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2</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hint="eastAsia" w:ascii="Times New Roman" w:hAnsi="Times New Roman" w:eastAsia="方正仿宋_GB2312" w:cs="仿宋"/>
                <w:b w:val="0"/>
                <w:i w:val="0"/>
                <w:color w:val="000000"/>
                <w:spacing w:val="-9"/>
                <w:sz w:val="22"/>
                <w:szCs w:val="22"/>
              </w:rPr>
            </w:pPr>
            <w:r>
              <w:rPr>
                <w:rFonts w:hint="eastAsia" w:ascii="Times New Roman" w:hAnsi="Times New Roman" w:eastAsia="方正仿宋_GB2312" w:cs="仿宋"/>
                <w:b w:val="0"/>
                <w:i w:val="0"/>
                <w:color w:val="000000"/>
                <w:spacing w:val="-9"/>
                <w:sz w:val="22"/>
                <w:szCs w:val="22"/>
              </w:rPr>
              <w:t>项目预算编制是否经过科学论证、有明确标准，资金额度与年度目标是否相适应，用以反映和考核项目预算编制的科学性、合理性等情况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预算编制经过科学论证（0.5分），预算内容与项目内容相匹配（0.5分），预算额度测算依据充分、按照标准编制（0.5分），预算确定的项目资金规模与工作任务相匹配（0.5分）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588"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6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7"/>
                <w:sz w:val="22"/>
                <w:szCs w:val="22"/>
              </w:rPr>
              <w:t>资金分</w:t>
            </w:r>
            <w:r>
              <w:rPr>
                <w:rFonts w:ascii="Times New Roman" w:hAnsi="Times New Roman" w:eastAsia="方正仿宋_GB2312"/>
                <w:b w:val="0"/>
                <w:i w:val="0"/>
                <w:color w:val="000000"/>
                <w:spacing w:val="-5"/>
                <w:sz w:val="22"/>
                <w:szCs w:val="22"/>
              </w:rPr>
              <w:t>配合理</w:t>
            </w:r>
            <w:r>
              <w:rPr>
                <w:rFonts w:ascii="Times New Roman" w:hAnsi="Times New Roman" w:eastAsia="方正仿宋_GB2312"/>
                <w:b w:val="0"/>
                <w:i w:val="0"/>
                <w:color w:val="000000"/>
                <w:sz w:val="22"/>
                <w:szCs w:val="22"/>
              </w:rPr>
              <w:t>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2</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57"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9"/>
                <w:sz w:val="22"/>
                <w:szCs w:val="22"/>
              </w:rPr>
              <w:t>项目预算资金分配是否有测算</w:t>
            </w:r>
            <w:r>
              <w:rPr>
                <w:rFonts w:ascii="Times New Roman" w:hAnsi="Times New Roman" w:eastAsia="方正仿宋_GB2312"/>
                <w:b w:val="0"/>
                <w:i w:val="0"/>
                <w:color w:val="000000"/>
                <w:spacing w:val="-6"/>
                <w:sz w:val="22"/>
                <w:szCs w:val="22"/>
              </w:rPr>
              <w:t>依据，与项目单位或地方实际是否相适应，用以反映和考核项目预算资金分配的科学性、合理性</w:t>
            </w:r>
            <w:r>
              <w:rPr>
                <w:rFonts w:ascii="Times New Roman" w:hAnsi="Times New Roman" w:eastAsia="方正仿宋_GB2312"/>
                <w:b w:val="0"/>
                <w:i w:val="0"/>
                <w:color w:val="000000"/>
                <w:spacing w:val="-5"/>
                <w:sz w:val="22"/>
                <w:szCs w:val="22"/>
              </w:rPr>
              <w:t>等情况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2"/>
                <w:szCs w:val="22"/>
              </w:rPr>
            </w:pPr>
            <w:r>
              <w:rPr>
                <w:rFonts w:hint="eastAsia" w:ascii="Times New Roman" w:hAnsi="Times New Roman" w:eastAsia="方正仿宋_GB2312" w:cs="仿宋"/>
                <w:b w:val="0"/>
                <w:i w:val="0"/>
                <w:color w:val="000000"/>
                <w:spacing w:val="-6"/>
                <w:sz w:val="22"/>
                <w:szCs w:val="22"/>
              </w:rPr>
              <w:t>预算资金分配依据充分、明确（1分），资金分配额度合理、与项目单位或地方实际相适应（1分）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62" w:type="dxa"/>
            <w:vMerge w:val="restar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6"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6"/>
                <w:sz w:val="22"/>
                <w:szCs w:val="22"/>
              </w:rPr>
              <w:t>过程</w:t>
            </w:r>
          </w:p>
        </w:tc>
        <w:tc>
          <w:tcPr>
            <w:tcW w:w="476"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6"/>
                <w:sz w:val="22"/>
                <w:szCs w:val="22"/>
              </w:rPr>
              <w:t>20</w:t>
            </w:r>
          </w:p>
        </w:tc>
        <w:tc>
          <w:tcPr>
            <w:tcW w:w="588"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pacing w:val="-11"/>
                <w:sz w:val="22"/>
                <w:szCs w:val="22"/>
              </w:rPr>
            </w:pPr>
            <w:r>
              <w:rPr>
                <w:rFonts w:ascii="Times New Roman" w:hAnsi="Times New Roman" w:eastAsia="方正仿宋_GB2312"/>
                <w:b w:val="0"/>
                <w:i w:val="0"/>
                <w:color w:val="000000"/>
                <w:spacing w:val="-11"/>
                <w:sz w:val="22"/>
                <w:szCs w:val="22"/>
              </w:rPr>
              <w:t>资</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pacing w:val="-11"/>
                <w:sz w:val="22"/>
                <w:szCs w:val="22"/>
              </w:rPr>
            </w:pPr>
            <w:r>
              <w:rPr>
                <w:rFonts w:ascii="Times New Roman" w:hAnsi="Times New Roman" w:eastAsia="方正仿宋_GB2312"/>
                <w:b w:val="0"/>
                <w:i w:val="0"/>
                <w:color w:val="000000"/>
                <w:spacing w:val="-11"/>
                <w:sz w:val="22"/>
                <w:szCs w:val="22"/>
              </w:rPr>
              <w:t>金</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pacing w:val="-9"/>
                <w:sz w:val="22"/>
                <w:szCs w:val="22"/>
              </w:rPr>
            </w:pPr>
            <w:r>
              <w:rPr>
                <w:rFonts w:ascii="Times New Roman" w:hAnsi="Times New Roman" w:eastAsia="方正仿宋_GB2312"/>
                <w:b w:val="0"/>
                <w:i w:val="0"/>
                <w:color w:val="000000"/>
                <w:spacing w:val="-9"/>
                <w:sz w:val="22"/>
                <w:szCs w:val="22"/>
              </w:rPr>
              <w:t>管</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9"/>
                <w:sz w:val="22"/>
                <w:szCs w:val="22"/>
              </w:rPr>
              <w:t>理</w:t>
            </w:r>
          </w:p>
        </w:tc>
        <w:tc>
          <w:tcPr>
            <w:tcW w:w="46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12"/>
                <w:sz w:val="22"/>
                <w:szCs w:val="22"/>
              </w:rPr>
              <w:t>12</w:t>
            </w: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7"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8"/>
                <w:sz w:val="22"/>
                <w:szCs w:val="22"/>
              </w:rPr>
              <w:t>资金到</w:t>
            </w:r>
            <w:r>
              <w:rPr>
                <w:rFonts w:ascii="Times New Roman" w:hAnsi="Times New Roman" w:eastAsia="方正仿宋_GB2312"/>
                <w:b w:val="0"/>
                <w:i w:val="0"/>
                <w:color w:val="000000"/>
                <w:spacing w:val="-6"/>
                <w:sz w:val="22"/>
                <w:szCs w:val="22"/>
              </w:rPr>
              <w:t>位率</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4</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1"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4"/>
                <w:sz w:val="22"/>
                <w:szCs w:val="22"/>
              </w:rPr>
              <w:t>实际到位资金与预算资金的比</w:t>
            </w:r>
            <w:r>
              <w:rPr>
                <w:rFonts w:ascii="Times New Roman" w:hAnsi="Times New Roman" w:eastAsia="方正仿宋_GB2312"/>
                <w:b w:val="0"/>
                <w:i w:val="0"/>
                <w:color w:val="000000"/>
                <w:spacing w:val="-6"/>
                <w:sz w:val="22"/>
                <w:szCs w:val="22"/>
              </w:rPr>
              <w:t>率，用以反映和考核资金落实情</w:t>
            </w:r>
            <w:r>
              <w:rPr>
                <w:rFonts w:ascii="Times New Roman" w:hAnsi="Times New Roman" w:eastAsia="方正仿宋_GB2312"/>
                <w:b w:val="0"/>
                <w:i w:val="0"/>
                <w:color w:val="000000"/>
                <w:spacing w:val="-3"/>
                <w:sz w:val="22"/>
                <w:szCs w:val="22"/>
              </w:rPr>
              <w:t>况对项目实施的总体保障程度</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left"/>
              <w:rPr>
                <w:rFonts w:hint="eastAsia" w:ascii="Times New Roman" w:hAnsi="Times New Roman" w:eastAsia="方正仿宋_GB2312" w:cs="仿宋"/>
                <w:b w:val="0"/>
                <w:i w:val="0"/>
                <w:color w:val="000000"/>
                <w:spacing w:val="-9"/>
                <w:sz w:val="22"/>
                <w:szCs w:val="22"/>
              </w:rPr>
            </w:pPr>
            <w:r>
              <w:rPr>
                <w:rFonts w:hint="eastAsia" w:ascii="Times New Roman" w:hAnsi="Times New Roman" w:eastAsia="方正仿宋_GB2312" w:cs="仿宋"/>
                <w:b w:val="0"/>
                <w:i w:val="0"/>
                <w:color w:val="000000"/>
                <w:spacing w:val="-9"/>
                <w:sz w:val="22"/>
                <w:szCs w:val="22"/>
              </w:rPr>
              <w:t>根据项目实际到位资金占计划的比重计算得分（4分）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588"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6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6"/>
                <w:sz w:val="22"/>
                <w:szCs w:val="22"/>
              </w:rPr>
              <w:t>预算执</w:t>
            </w:r>
            <w:r>
              <w:rPr>
                <w:rFonts w:ascii="Times New Roman" w:hAnsi="Times New Roman" w:eastAsia="方正仿宋_GB2312"/>
                <w:b w:val="0"/>
                <w:i w:val="0"/>
                <w:color w:val="000000"/>
                <w:spacing w:val="-8"/>
                <w:sz w:val="22"/>
                <w:szCs w:val="22"/>
              </w:rPr>
              <w:t>行率</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4</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2"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5"/>
                <w:sz w:val="22"/>
                <w:szCs w:val="22"/>
              </w:rPr>
              <w:t>实际拨付资金与实际到位资金的</w:t>
            </w:r>
            <w:r>
              <w:rPr>
                <w:rFonts w:ascii="Times New Roman" w:hAnsi="Times New Roman" w:eastAsia="方正仿宋_GB2312"/>
                <w:b w:val="0"/>
                <w:i w:val="0"/>
                <w:color w:val="000000"/>
                <w:spacing w:val="-18"/>
                <w:sz w:val="22"/>
                <w:szCs w:val="22"/>
              </w:rPr>
              <w:t>比率，项目预算资金是否按照计划执行，用以反映或考核项目预算执</w:t>
            </w:r>
            <w:r>
              <w:rPr>
                <w:rFonts w:ascii="Times New Roman" w:hAnsi="Times New Roman" w:eastAsia="方正仿宋_GB2312"/>
                <w:b w:val="0"/>
                <w:i w:val="0"/>
                <w:color w:val="000000"/>
                <w:spacing w:val="-9"/>
                <w:sz w:val="22"/>
                <w:szCs w:val="22"/>
              </w:rPr>
              <w:t>行情况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left"/>
              <w:rPr>
                <w:rFonts w:hint="eastAsia" w:ascii="Times New Roman" w:hAnsi="Times New Roman" w:eastAsia="方正仿宋_GB2312" w:cs="仿宋"/>
                <w:b w:val="0"/>
                <w:i w:val="0"/>
                <w:color w:val="000000"/>
                <w:spacing w:val="-9"/>
                <w:sz w:val="22"/>
                <w:szCs w:val="22"/>
              </w:rPr>
            </w:pPr>
            <w:r>
              <w:rPr>
                <w:rFonts w:hint="eastAsia" w:ascii="Times New Roman" w:hAnsi="Times New Roman" w:eastAsia="方正仿宋_GB2312" w:cs="仿宋"/>
                <w:b w:val="0"/>
                <w:i w:val="0"/>
                <w:color w:val="000000"/>
                <w:spacing w:val="-9"/>
                <w:sz w:val="22"/>
                <w:szCs w:val="22"/>
              </w:rPr>
              <w:t>根据项目预算执行率的比重计算得分（4分）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588"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6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7"/>
                <w:sz w:val="22"/>
                <w:szCs w:val="22"/>
              </w:rPr>
              <w:t>资金使</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5"/>
                <w:sz w:val="22"/>
                <w:szCs w:val="22"/>
              </w:rPr>
              <w:t>用合规</w:t>
            </w:r>
          </w:p>
          <w:p>
            <w:pPr>
              <w:pStyle w:val="32"/>
              <w:keepNext/>
              <w:keepLines w:val="0"/>
              <w:pageBreakBefore w:val="0"/>
              <w:kinsoku/>
              <w:wordWrap/>
              <w:overflowPunct/>
              <w:topLinePunct w:val="0"/>
              <w:bidi w:val="0"/>
              <w:adjustRightInd/>
              <w:snapToGrid w:val="0"/>
              <w:spacing w:before="63"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4</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5"/>
                <w:sz w:val="22"/>
                <w:szCs w:val="22"/>
              </w:rPr>
              <w:t>项目资金使用是否符合相关的财</w:t>
            </w:r>
            <w:r>
              <w:rPr>
                <w:rFonts w:ascii="Times New Roman" w:hAnsi="Times New Roman" w:eastAsia="方正仿宋_GB2312"/>
                <w:b w:val="0"/>
                <w:i w:val="0"/>
                <w:color w:val="000000"/>
                <w:spacing w:val="-18"/>
                <w:sz w:val="22"/>
                <w:szCs w:val="22"/>
              </w:rPr>
              <w:t>务管理制度规定，用以反映和考核</w:t>
            </w:r>
            <w:r>
              <w:rPr>
                <w:rFonts w:ascii="Times New Roman" w:hAnsi="Times New Roman" w:eastAsia="方正仿宋_GB2312"/>
                <w:b w:val="0"/>
                <w:i w:val="0"/>
                <w:color w:val="000000"/>
                <w:spacing w:val="-13"/>
                <w:sz w:val="22"/>
                <w:szCs w:val="22"/>
              </w:rPr>
              <w:t>项目资金的规范运行情况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66" w:line="240" w:lineRule="auto"/>
              <w:ind w:left="0" w:leftChars="0" w:right="0" w:rightChars="0" w:firstLine="0" w:firstLineChars="0"/>
              <w:jc w:val="left"/>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2"/>
                <w:sz w:val="22"/>
                <w:szCs w:val="22"/>
              </w:rPr>
              <w:t>符合国家财经法规和财务管理制度以</w:t>
            </w:r>
            <w:r>
              <w:rPr>
                <w:rFonts w:ascii="Times New Roman" w:hAnsi="Times New Roman" w:eastAsia="方正仿宋_GB2312"/>
                <w:b w:val="0"/>
                <w:i w:val="0"/>
                <w:color w:val="000000"/>
                <w:spacing w:val="5"/>
                <w:sz w:val="22"/>
                <w:szCs w:val="22"/>
              </w:rPr>
              <w:t>及有关专项资金管理办法的规定（1</w:t>
            </w:r>
            <w:r>
              <w:rPr>
                <w:rFonts w:ascii="Times New Roman" w:hAnsi="Times New Roman" w:eastAsia="方正仿宋_GB2312"/>
                <w:b w:val="0"/>
                <w:i w:val="0"/>
                <w:color w:val="000000"/>
                <w:spacing w:val="-3"/>
                <w:sz w:val="22"/>
                <w:szCs w:val="22"/>
              </w:rPr>
              <w:t>分</w:t>
            </w:r>
            <w:r>
              <w:rPr>
                <w:rFonts w:ascii="Times New Roman" w:hAnsi="Times New Roman" w:eastAsia="方正仿宋_GB2312"/>
                <w:b w:val="0"/>
                <w:i w:val="0"/>
                <w:color w:val="000000"/>
                <w:spacing w:val="10"/>
                <w:sz w:val="22"/>
                <w:szCs w:val="22"/>
              </w:rPr>
              <w:t>），</w:t>
            </w:r>
            <w:r>
              <w:rPr>
                <w:rFonts w:ascii="Times New Roman" w:hAnsi="Times New Roman" w:eastAsia="方正仿宋_GB2312"/>
                <w:b w:val="0"/>
                <w:i w:val="0"/>
                <w:color w:val="000000"/>
                <w:spacing w:val="-3"/>
                <w:sz w:val="22"/>
                <w:szCs w:val="22"/>
              </w:rPr>
              <w:t>资金的拨付有完整的审批程序</w:t>
            </w:r>
            <w:r>
              <w:rPr>
                <w:rFonts w:ascii="Times New Roman" w:hAnsi="Times New Roman" w:eastAsia="方正仿宋_GB2312"/>
                <w:b w:val="0"/>
                <w:i w:val="0"/>
                <w:color w:val="000000"/>
                <w:spacing w:val="-1"/>
                <w:sz w:val="22"/>
                <w:szCs w:val="22"/>
              </w:rPr>
              <w:t>和手续（1分</w:t>
            </w:r>
            <w:r>
              <w:rPr>
                <w:rFonts w:ascii="Times New Roman" w:hAnsi="Times New Roman" w:eastAsia="方正仿宋_GB2312"/>
                <w:b w:val="0"/>
                <w:i w:val="0"/>
                <w:color w:val="000000"/>
                <w:spacing w:val="12"/>
                <w:sz w:val="22"/>
                <w:szCs w:val="22"/>
              </w:rPr>
              <w:t>），</w:t>
            </w:r>
            <w:r>
              <w:rPr>
                <w:rFonts w:ascii="Times New Roman" w:hAnsi="Times New Roman" w:eastAsia="方正仿宋_GB2312"/>
                <w:b w:val="0"/>
                <w:i w:val="0"/>
                <w:color w:val="000000"/>
                <w:spacing w:val="-1"/>
                <w:sz w:val="22"/>
                <w:szCs w:val="22"/>
              </w:rPr>
              <w:t>符合项目预算批复和合同规定的用途（1分</w:t>
            </w:r>
            <w:r>
              <w:rPr>
                <w:rFonts w:ascii="Times New Roman" w:hAnsi="Times New Roman" w:eastAsia="方正仿宋_GB2312"/>
                <w:b w:val="0"/>
                <w:i w:val="0"/>
                <w:color w:val="000000"/>
                <w:spacing w:val="14"/>
                <w:sz w:val="22"/>
                <w:szCs w:val="22"/>
              </w:rPr>
              <w:t>），</w:t>
            </w:r>
            <w:r>
              <w:rPr>
                <w:rFonts w:ascii="Times New Roman" w:hAnsi="Times New Roman" w:eastAsia="方正仿宋_GB2312"/>
                <w:b w:val="0"/>
                <w:i w:val="0"/>
                <w:color w:val="000000"/>
                <w:spacing w:val="-1"/>
                <w:sz w:val="22"/>
                <w:szCs w:val="22"/>
              </w:rPr>
              <w:t>不存在</w:t>
            </w:r>
            <w:r>
              <w:rPr>
                <w:rFonts w:ascii="Times New Roman" w:hAnsi="Times New Roman" w:eastAsia="方正仿宋_GB2312"/>
                <w:b w:val="0"/>
                <w:i w:val="0"/>
                <w:color w:val="000000"/>
                <w:spacing w:val="-2"/>
                <w:sz w:val="22"/>
                <w:szCs w:val="22"/>
              </w:rPr>
              <w:t>截留、挤占、挪用、虚列支出等情况</w:t>
            </w:r>
            <w:r>
              <w:rPr>
                <w:rFonts w:ascii="Times New Roman" w:hAnsi="Times New Roman" w:eastAsia="方正仿宋_GB2312"/>
                <w:b w:val="0"/>
                <w:i w:val="0"/>
                <w:color w:val="000000"/>
                <w:sz w:val="22"/>
                <w:szCs w:val="22"/>
              </w:rPr>
              <w:t>（1分）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62"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476"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b w:val="0"/>
                <w:i w:val="0"/>
                <w:color w:val="000000"/>
                <w:sz w:val="22"/>
                <w:szCs w:val="22"/>
              </w:rPr>
            </w:pPr>
          </w:p>
        </w:tc>
        <w:tc>
          <w:tcPr>
            <w:tcW w:w="588"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pacing w:val="-8"/>
                <w:sz w:val="22"/>
                <w:szCs w:val="22"/>
              </w:rPr>
            </w:pPr>
            <w:r>
              <w:rPr>
                <w:rFonts w:ascii="Times New Roman" w:hAnsi="Times New Roman" w:eastAsia="方正仿宋_GB2312"/>
                <w:b w:val="0"/>
                <w:i w:val="0"/>
                <w:color w:val="000000"/>
                <w:spacing w:val="-8"/>
                <w:sz w:val="22"/>
                <w:szCs w:val="22"/>
              </w:rPr>
              <w:t>组</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pacing w:val="-8"/>
                <w:sz w:val="22"/>
                <w:szCs w:val="22"/>
              </w:rPr>
            </w:pPr>
            <w:r>
              <w:rPr>
                <w:rFonts w:ascii="Times New Roman" w:hAnsi="Times New Roman" w:eastAsia="方正仿宋_GB2312"/>
                <w:b w:val="0"/>
                <w:i w:val="0"/>
                <w:color w:val="000000"/>
                <w:spacing w:val="-8"/>
                <w:sz w:val="22"/>
                <w:szCs w:val="22"/>
              </w:rPr>
              <w:t>织</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pacing w:val="-9"/>
                <w:sz w:val="22"/>
                <w:szCs w:val="22"/>
              </w:rPr>
            </w:pPr>
            <w:r>
              <w:rPr>
                <w:rFonts w:ascii="Times New Roman" w:hAnsi="Times New Roman" w:eastAsia="方正仿宋_GB2312"/>
                <w:b w:val="0"/>
                <w:i w:val="0"/>
                <w:color w:val="000000"/>
                <w:spacing w:val="-9"/>
                <w:sz w:val="22"/>
                <w:szCs w:val="22"/>
              </w:rPr>
              <w:t>实</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9"/>
                <w:sz w:val="22"/>
                <w:szCs w:val="22"/>
              </w:rPr>
              <w:t>施</w:t>
            </w:r>
          </w:p>
        </w:tc>
        <w:tc>
          <w:tcPr>
            <w:tcW w:w="46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8</w:t>
            </w:r>
          </w:p>
        </w:tc>
        <w:tc>
          <w:tcPr>
            <w:tcW w:w="60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6"/>
                <w:sz w:val="22"/>
                <w:szCs w:val="22"/>
              </w:rPr>
              <w:t>管理制</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4"/>
                <w:sz w:val="22"/>
                <w:szCs w:val="22"/>
              </w:rPr>
              <w:t>度健全</w:t>
            </w:r>
          </w:p>
          <w:p>
            <w:pPr>
              <w:pStyle w:val="32"/>
              <w:keepNext/>
              <w:keepLines w:val="0"/>
              <w:pageBreakBefore w:val="0"/>
              <w:kinsoku/>
              <w:wordWrap/>
              <w:overflowPunct/>
              <w:topLinePunct w:val="0"/>
              <w:bidi w:val="0"/>
              <w:adjustRightInd/>
              <w:snapToGrid w:val="0"/>
              <w:spacing w:before="64"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性</w:t>
            </w:r>
          </w:p>
        </w:tc>
        <w:tc>
          <w:tcPr>
            <w:tcW w:w="55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z w:val="22"/>
                <w:szCs w:val="22"/>
              </w:rPr>
              <w:t>4</w:t>
            </w:r>
          </w:p>
        </w:tc>
        <w:tc>
          <w:tcPr>
            <w:tcW w:w="241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23"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9"/>
                <w:sz w:val="22"/>
                <w:szCs w:val="22"/>
              </w:rPr>
              <w:t>项目实施单位的财务和业务管</w:t>
            </w:r>
            <w:r>
              <w:rPr>
                <w:rFonts w:ascii="Times New Roman" w:hAnsi="Times New Roman" w:eastAsia="方正仿宋_GB2312"/>
                <w:b w:val="0"/>
                <w:i w:val="0"/>
                <w:color w:val="000000"/>
                <w:spacing w:val="-6"/>
                <w:sz w:val="22"/>
                <w:szCs w:val="22"/>
              </w:rPr>
              <w:t>理制度是否健全，用以反映和考</w:t>
            </w:r>
            <w:r>
              <w:rPr>
                <w:rFonts w:ascii="Times New Roman" w:hAnsi="Times New Roman" w:eastAsia="方正仿宋_GB2312"/>
                <w:b w:val="0"/>
                <w:i w:val="0"/>
                <w:color w:val="000000"/>
                <w:spacing w:val="10"/>
                <w:sz w:val="22"/>
                <w:szCs w:val="22"/>
              </w:rPr>
              <w:t>核财务和业务管理制度对项目</w:t>
            </w:r>
            <w:r>
              <w:rPr>
                <w:rFonts w:ascii="Times New Roman" w:hAnsi="Times New Roman" w:eastAsia="方正仿宋_GB2312"/>
                <w:b w:val="0"/>
                <w:i w:val="0"/>
                <w:color w:val="000000"/>
                <w:spacing w:val="-3"/>
                <w:sz w:val="22"/>
                <w:szCs w:val="22"/>
              </w:rPr>
              <w:t>顺利实施的保障情况</w:t>
            </w:r>
          </w:p>
        </w:tc>
        <w:tc>
          <w:tcPr>
            <w:tcW w:w="341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67" w:line="240" w:lineRule="auto"/>
              <w:ind w:left="0" w:leftChars="0" w:right="0" w:rightChars="0" w:firstLine="0" w:firstLineChars="0"/>
              <w:jc w:val="left"/>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9"/>
                <w:sz w:val="22"/>
                <w:szCs w:val="22"/>
              </w:rPr>
              <w:t>已制定或具有相应的财务管理制度（1</w:t>
            </w:r>
            <w:r>
              <w:rPr>
                <w:rFonts w:ascii="Times New Roman" w:hAnsi="Times New Roman" w:eastAsia="方正仿宋_GB2312"/>
                <w:b w:val="0"/>
                <w:i w:val="0"/>
                <w:color w:val="000000"/>
                <w:spacing w:val="-3"/>
                <w:sz w:val="22"/>
                <w:szCs w:val="22"/>
              </w:rPr>
              <w:t>分</w:t>
            </w:r>
            <w:r>
              <w:rPr>
                <w:rFonts w:ascii="Times New Roman" w:hAnsi="Times New Roman" w:eastAsia="方正仿宋_GB2312"/>
                <w:b w:val="0"/>
                <w:i w:val="0"/>
                <w:color w:val="000000"/>
                <w:spacing w:val="9"/>
                <w:sz w:val="22"/>
                <w:szCs w:val="22"/>
              </w:rPr>
              <w:t>），</w:t>
            </w:r>
            <w:r>
              <w:rPr>
                <w:rFonts w:ascii="Times New Roman" w:hAnsi="Times New Roman" w:eastAsia="方正仿宋_GB2312"/>
                <w:b w:val="0"/>
                <w:i w:val="0"/>
                <w:color w:val="000000"/>
                <w:spacing w:val="-3"/>
                <w:sz w:val="22"/>
                <w:szCs w:val="22"/>
              </w:rPr>
              <w:t>财务管理制度合法、合规、完整（1分</w:t>
            </w:r>
            <w:r>
              <w:rPr>
                <w:rFonts w:ascii="Times New Roman" w:hAnsi="Times New Roman" w:eastAsia="方正仿宋_GB2312"/>
                <w:b w:val="0"/>
                <w:i w:val="0"/>
                <w:color w:val="000000"/>
                <w:spacing w:val="26"/>
                <w:sz w:val="22"/>
                <w:szCs w:val="22"/>
              </w:rPr>
              <w:t>），</w:t>
            </w:r>
            <w:r>
              <w:rPr>
                <w:rFonts w:ascii="Times New Roman" w:hAnsi="Times New Roman" w:eastAsia="方正仿宋_GB2312"/>
                <w:b w:val="0"/>
                <w:i w:val="0"/>
                <w:color w:val="000000"/>
                <w:spacing w:val="-3"/>
                <w:sz w:val="22"/>
                <w:szCs w:val="22"/>
              </w:rPr>
              <w:t>已制定或具有相应的业</w:t>
            </w:r>
            <w:r>
              <w:rPr>
                <w:rFonts w:ascii="Times New Roman" w:hAnsi="Times New Roman" w:eastAsia="方正仿宋_GB2312"/>
                <w:b w:val="0"/>
                <w:i w:val="0"/>
                <w:color w:val="000000"/>
                <w:spacing w:val="-1"/>
                <w:sz w:val="22"/>
                <w:szCs w:val="22"/>
              </w:rPr>
              <w:t>务管理制度（1分</w:t>
            </w:r>
            <w:r>
              <w:rPr>
                <w:rFonts w:ascii="Times New Roman" w:hAnsi="Times New Roman" w:eastAsia="方正仿宋_GB2312"/>
                <w:b w:val="0"/>
                <w:i w:val="0"/>
                <w:color w:val="000000"/>
                <w:spacing w:val="12"/>
                <w:sz w:val="22"/>
                <w:szCs w:val="22"/>
              </w:rPr>
              <w:t>），</w:t>
            </w:r>
            <w:r>
              <w:rPr>
                <w:rFonts w:ascii="Times New Roman" w:hAnsi="Times New Roman" w:eastAsia="方正仿宋_GB2312"/>
                <w:b w:val="0"/>
                <w:i w:val="0"/>
                <w:color w:val="000000"/>
                <w:spacing w:val="-1"/>
                <w:sz w:val="22"/>
                <w:szCs w:val="22"/>
              </w:rPr>
              <w:t>业务管理制度</w:t>
            </w:r>
            <w:r>
              <w:rPr>
                <w:rFonts w:ascii="Times New Roman" w:hAnsi="Times New Roman" w:eastAsia="方正仿宋_GB2312"/>
                <w:b w:val="0"/>
                <w:i w:val="0"/>
                <w:color w:val="000000"/>
                <w:spacing w:val="-3"/>
                <w:sz w:val="22"/>
                <w:szCs w:val="22"/>
              </w:rPr>
              <w:t>合法、合规、完整（1分）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62" w:type="dxa"/>
            <w:vMerge w:val="continue"/>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cs="仿宋"/>
                <w:b w:val="0"/>
                <w:i w:val="0"/>
                <w:color w:val="000000"/>
                <w:sz w:val="22"/>
                <w:szCs w:val="22"/>
                <w:lang w:val="zh-CN" w:eastAsia="zh-CN" w:bidi="zh-CN"/>
              </w:rPr>
            </w:pPr>
          </w:p>
        </w:tc>
        <w:tc>
          <w:tcPr>
            <w:tcW w:w="476" w:type="dxa"/>
            <w:vMerge w:val="continue"/>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cs="仿宋"/>
                <w:b w:val="0"/>
                <w:i w:val="0"/>
                <w:color w:val="000000"/>
                <w:sz w:val="22"/>
                <w:szCs w:val="22"/>
                <w:lang w:val="zh-CN" w:eastAsia="zh-CN" w:bidi="zh-CN"/>
              </w:rPr>
            </w:pPr>
          </w:p>
        </w:tc>
        <w:tc>
          <w:tcPr>
            <w:tcW w:w="588" w:type="dxa"/>
            <w:vMerge w:val="continue"/>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cs="仿宋"/>
                <w:b w:val="0"/>
                <w:i w:val="0"/>
                <w:color w:val="000000"/>
                <w:sz w:val="22"/>
                <w:szCs w:val="22"/>
                <w:lang w:val="zh-CN" w:eastAsia="zh-CN" w:bidi="zh-CN"/>
              </w:rPr>
            </w:pPr>
          </w:p>
        </w:tc>
        <w:tc>
          <w:tcPr>
            <w:tcW w:w="465" w:type="dxa"/>
            <w:vMerge w:val="continue"/>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keepNext/>
              <w:keepLines w:val="0"/>
              <w:pageBreakBefore w:val="0"/>
              <w:kinsoku/>
              <w:wordWrap/>
              <w:overflowPunct/>
              <w:topLinePunct w:val="0"/>
              <w:bidi w:val="0"/>
              <w:adjustRightInd/>
              <w:snapToGrid w:val="0"/>
              <w:spacing w:line="240" w:lineRule="auto"/>
              <w:ind w:left="0" w:leftChars="0" w:right="0" w:rightChars="0" w:firstLine="0" w:firstLineChars="0"/>
              <w:jc w:val="center"/>
              <w:rPr>
                <w:rFonts w:ascii="Times New Roman" w:hAnsi="Times New Roman" w:eastAsia="方正仿宋_GB2312" w:cs="仿宋"/>
                <w:b w:val="0"/>
                <w:i w:val="0"/>
                <w:color w:val="000000"/>
                <w:sz w:val="22"/>
                <w:szCs w:val="22"/>
                <w:lang w:val="zh-CN" w:eastAsia="zh-CN" w:bidi="zh-CN"/>
              </w:rPr>
            </w:pPr>
          </w:p>
        </w:tc>
        <w:tc>
          <w:tcPr>
            <w:tcW w:w="600"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5"/>
                <w:sz w:val="22"/>
                <w:szCs w:val="22"/>
              </w:rPr>
              <w:t>制度执</w:t>
            </w:r>
          </w:p>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b w:val="0"/>
                <w:i w:val="0"/>
                <w:color w:val="000000"/>
                <w:sz w:val="22"/>
                <w:szCs w:val="22"/>
              </w:rPr>
            </w:pPr>
            <w:r>
              <w:rPr>
                <w:rFonts w:ascii="Times New Roman" w:hAnsi="Times New Roman" w:eastAsia="方正仿宋_GB2312"/>
                <w:b w:val="0"/>
                <w:i w:val="0"/>
                <w:color w:val="000000"/>
                <w:spacing w:val="-6"/>
                <w:sz w:val="22"/>
                <w:szCs w:val="22"/>
              </w:rPr>
              <w:t>行有效</w:t>
            </w:r>
          </w:p>
          <w:p>
            <w:pPr>
              <w:pStyle w:val="32"/>
              <w:keepNext/>
              <w:keepLines w:val="0"/>
              <w:pageBreakBefore w:val="0"/>
              <w:kinsoku/>
              <w:wordWrap/>
              <w:overflowPunct/>
              <w:topLinePunct w:val="0"/>
              <w:bidi w:val="0"/>
              <w:adjustRightInd/>
              <w:snapToGrid w:val="0"/>
              <w:spacing w:before="64" w:line="240" w:lineRule="auto"/>
              <w:ind w:left="0" w:leftChars="0" w:right="0" w:rightChars="0" w:firstLine="0" w:firstLineChars="0"/>
              <w:jc w:val="center"/>
              <w:rPr>
                <w:rFonts w:ascii="Times New Roman" w:hAnsi="Times New Roman" w:eastAsia="方正仿宋_GB2312" w:cs="宋体"/>
                <w:b w:val="0"/>
                <w:i w:val="0"/>
                <w:color w:val="000000"/>
                <w:sz w:val="22"/>
                <w:szCs w:val="22"/>
                <w:lang w:val="en-US" w:eastAsia="en-US" w:bidi="ar-SA"/>
              </w:rPr>
            </w:pPr>
            <w:r>
              <w:rPr>
                <w:rFonts w:ascii="Times New Roman" w:hAnsi="Times New Roman" w:eastAsia="方正仿宋_GB2312"/>
                <w:b w:val="0"/>
                <w:i w:val="0"/>
                <w:color w:val="000000"/>
                <w:sz w:val="22"/>
                <w:szCs w:val="22"/>
              </w:rPr>
              <w:t>性</w:t>
            </w:r>
          </w:p>
        </w:tc>
        <w:tc>
          <w:tcPr>
            <w:tcW w:w="554"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cs="宋体"/>
                <w:b w:val="0"/>
                <w:i w:val="0"/>
                <w:color w:val="000000"/>
                <w:sz w:val="22"/>
                <w:szCs w:val="22"/>
                <w:lang w:val="en-US" w:eastAsia="en-US" w:bidi="ar-SA"/>
              </w:rPr>
            </w:pPr>
            <w:r>
              <w:rPr>
                <w:rFonts w:ascii="Times New Roman" w:hAnsi="Times New Roman" w:eastAsia="方正仿宋_GB2312"/>
                <w:b w:val="0"/>
                <w:i w:val="0"/>
                <w:color w:val="000000"/>
                <w:sz w:val="22"/>
                <w:szCs w:val="22"/>
              </w:rPr>
              <w:t>4</w:t>
            </w:r>
          </w:p>
        </w:tc>
        <w:tc>
          <w:tcPr>
            <w:tcW w:w="2412"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65" w:line="240" w:lineRule="auto"/>
              <w:ind w:left="0" w:leftChars="0" w:right="0" w:rightChars="0" w:firstLine="0" w:firstLineChars="0"/>
              <w:jc w:val="center"/>
              <w:rPr>
                <w:rFonts w:ascii="Times New Roman" w:hAnsi="Times New Roman" w:eastAsia="方正仿宋_GB2312" w:cs="宋体"/>
                <w:b w:val="0"/>
                <w:i w:val="0"/>
                <w:color w:val="000000"/>
                <w:sz w:val="22"/>
                <w:szCs w:val="22"/>
                <w:lang w:val="en-US" w:eastAsia="en-US" w:bidi="ar-SA"/>
              </w:rPr>
            </w:pPr>
            <w:r>
              <w:rPr>
                <w:rFonts w:ascii="Times New Roman" w:hAnsi="Times New Roman" w:eastAsia="方正仿宋_GB2312"/>
                <w:b w:val="0"/>
                <w:i w:val="0"/>
                <w:color w:val="000000"/>
                <w:spacing w:val="9"/>
                <w:sz w:val="22"/>
                <w:szCs w:val="22"/>
              </w:rPr>
              <w:t>项目实施是否符合相关管理规</w:t>
            </w:r>
            <w:r>
              <w:rPr>
                <w:rFonts w:ascii="Times New Roman" w:hAnsi="Times New Roman" w:eastAsia="方正仿宋_GB2312"/>
                <w:b w:val="0"/>
                <w:i w:val="0"/>
                <w:color w:val="000000"/>
                <w:spacing w:val="-5"/>
                <w:sz w:val="22"/>
                <w:szCs w:val="22"/>
              </w:rPr>
              <w:t>定，用以反映和考核相关管理制</w:t>
            </w:r>
            <w:r>
              <w:rPr>
                <w:rFonts w:ascii="Times New Roman" w:hAnsi="Times New Roman" w:eastAsia="方正仿宋_GB2312"/>
                <w:b w:val="0"/>
                <w:i w:val="0"/>
                <w:color w:val="000000"/>
                <w:spacing w:val="-3"/>
                <w:sz w:val="22"/>
                <w:szCs w:val="22"/>
              </w:rPr>
              <w:t>度的有效执行情况</w:t>
            </w:r>
          </w:p>
        </w:tc>
        <w:tc>
          <w:tcPr>
            <w:tcW w:w="3413"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75" w:line="240" w:lineRule="auto"/>
              <w:ind w:left="0" w:leftChars="0" w:right="0" w:rightChars="0" w:firstLine="0" w:firstLineChars="0"/>
              <w:jc w:val="left"/>
              <w:rPr>
                <w:rFonts w:ascii="Times New Roman" w:hAnsi="Times New Roman" w:eastAsia="方正仿宋_GB2312" w:cs="宋体"/>
                <w:b w:val="0"/>
                <w:i w:val="0"/>
                <w:color w:val="000000"/>
                <w:sz w:val="22"/>
                <w:szCs w:val="22"/>
                <w:lang w:val="en-US" w:eastAsia="en-US" w:bidi="ar-SA"/>
              </w:rPr>
            </w:pPr>
            <w:r>
              <w:rPr>
                <w:rFonts w:ascii="Times New Roman" w:hAnsi="Times New Roman" w:eastAsia="方正仿宋_GB2312"/>
                <w:b w:val="0"/>
                <w:i w:val="0"/>
                <w:color w:val="000000"/>
                <w:spacing w:val="-8"/>
                <w:sz w:val="22"/>
                <w:szCs w:val="22"/>
              </w:rPr>
              <w:t>遵守相关法律法规和相关管理规定（1</w:t>
            </w:r>
            <w:r>
              <w:rPr>
                <w:rFonts w:ascii="Times New Roman" w:hAnsi="Times New Roman" w:eastAsia="方正仿宋_GB2312"/>
                <w:b w:val="0"/>
                <w:i w:val="0"/>
                <w:color w:val="000000"/>
                <w:spacing w:val="-3"/>
                <w:sz w:val="22"/>
                <w:szCs w:val="22"/>
              </w:rPr>
              <w:t>分</w:t>
            </w:r>
            <w:r>
              <w:rPr>
                <w:rFonts w:ascii="Times New Roman" w:hAnsi="Times New Roman" w:eastAsia="方正仿宋_GB2312"/>
                <w:b w:val="0"/>
                <w:i w:val="0"/>
                <w:color w:val="000000"/>
                <w:spacing w:val="9"/>
                <w:sz w:val="22"/>
                <w:szCs w:val="22"/>
              </w:rPr>
              <w:t>），</w:t>
            </w:r>
            <w:r>
              <w:rPr>
                <w:rFonts w:ascii="Times New Roman" w:hAnsi="Times New Roman" w:eastAsia="方正仿宋_GB2312"/>
                <w:b w:val="0"/>
                <w:i w:val="0"/>
                <w:color w:val="000000"/>
                <w:spacing w:val="-3"/>
                <w:sz w:val="22"/>
                <w:szCs w:val="22"/>
              </w:rPr>
              <w:t>项目调整及支出调整手续完备</w:t>
            </w:r>
            <w:r>
              <w:rPr>
                <w:rFonts w:ascii="Times New Roman" w:hAnsi="Times New Roman" w:eastAsia="方正仿宋_GB2312"/>
                <w:b w:val="0"/>
                <w:i w:val="0"/>
                <w:color w:val="000000"/>
                <w:spacing w:val="-1"/>
                <w:sz w:val="22"/>
                <w:szCs w:val="22"/>
              </w:rPr>
              <w:t>（1分</w:t>
            </w:r>
            <w:r>
              <w:rPr>
                <w:rFonts w:ascii="Times New Roman" w:hAnsi="Times New Roman" w:eastAsia="方正仿宋_GB2312"/>
                <w:b w:val="0"/>
                <w:i w:val="0"/>
                <w:color w:val="000000"/>
                <w:spacing w:val="14"/>
                <w:sz w:val="22"/>
                <w:szCs w:val="22"/>
              </w:rPr>
              <w:t>），</w:t>
            </w:r>
            <w:r>
              <w:rPr>
                <w:rFonts w:ascii="Times New Roman" w:hAnsi="Times New Roman" w:eastAsia="方正仿宋_GB2312"/>
                <w:b w:val="0"/>
                <w:i w:val="0"/>
                <w:color w:val="000000"/>
                <w:spacing w:val="-1"/>
                <w:sz w:val="22"/>
                <w:szCs w:val="22"/>
              </w:rPr>
              <w:t>项目合同书、验收报告、</w:t>
            </w:r>
            <w:r>
              <w:rPr>
                <w:rFonts w:ascii="Times New Roman" w:hAnsi="Times New Roman" w:eastAsia="方正仿宋_GB2312"/>
                <w:b w:val="0"/>
                <w:i w:val="0"/>
                <w:color w:val="000000"/>
                <w:spacing w:val="4"/>
                <w:sz w:val="22"/>
                <w:szCs w:val="22"/>
              </w:rPr>
              <w:t>技术鉴定等资料齐全并及时归档（1</w:t>
            </w:r>
            <w:r>
              <w:rPr>
                <w:rFonts w:ascii="Times New Roman" w:hAnsi="Times New Roman" w:eastAsia="方正仿宋_GB2312"/>
                <w:b w:val="0"/>
                <w:i w:val="0"/>
                <w:color w:val="000000"/>
                <w:spacing w:val="-3"/>
                <w:sz w:val="22"/>
                <w:szCs w:val="22"/>
              </w:rPr>
              <w:t>分</w:t>
            </w:r>
            <w:r>
              <w:rPr>
                <w:rFonts w:ascii="Times New Roman" w:hAnsi="Times New Roman" w:eastAsia="方正仿宋_GB2312"/>
                <w:b w:val="0"/>
                <w:i w:val="0"/>
                <w:color w:val="000000"/>
                <w:spacing w:val="9"/>
                <w:sz w:val="22"/>
                <w:szCs w:val="22"/>
              </w:rPr>
              <w:t>），</w:t>
            </w:r>
            <w:r>
              <w:rPr>
                <w:rFonts w:ascii="Times New Roman" w:hAnsi="Times New Roman" w:eastAsia="方正仿宋_GB2312"/>
                <w:b w:val="0"/>
                <w:i w:val="0"/>
                <w:color w:val="000000"/>
                <w:spacing w:val="-3"/>
                <w:sz w:val="22"/>
                <w:szCs w:val="22"/>
              </w:rPr>
              <w:t>项目实施的人员条件、场地设备、信息支撑等落实到位（1分）</w:t>
            </w:r>
          </w:p>
        </w:tc>
      </w:tr>
    </w:tbl>
    <w:p>
      <w:pPr>
        <w:keepNext w:val="0"/>
        <w:keepLines w:val="0"/>
        <w:pageBreakBefore w:val="0"/>
        <w:widowControl w:val="0"/>
        <w:kinsoku/>
        <w:wordWrap/>
        <w:overflowPunct/>
        <w:topLinePunct w:val="0"/>
        <w:autoSpaceDE w:val="0"/>
        <w:autoSpaceDN w:val="0"/>
        <w:bidi w:val="0"/>
        <w:adjustRightInd/>
        <w:snapToGrid/>
        <w:spacing w:line="240" w:lineRule="auto"/>
        <w:ind w:firstLine="0"/>
        <w:jc w:val="both"/>
        <w:textAlignment w:val="auto"/>
        <w:rPr>
          <w:rFonts w:hint="eastAsia" w:ascii="Times New Roman" w:hAnsi="Times New Roman" w:eastAsia="方正仿宋_GB2312" w:cs="仿宋"/>
          <w:sz w:val="52"/>
          <w:szCs w:val="52"/>
        </w:rPr>
      </w:pPr>
    </w:p>
    <w:tbl>
      <w:tblPr>
        <w:tblStyle w:val="33"/>
        <w:tblW w:w="92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0"/>
        <w:gridCol w:w="454"/>
        <w:gridCol w:w="557"/>
        <w:gridCol w:w="537"/>
        <w:gridCol w:w="909"/>
        <w:gridCol w:w="668"/>
        <w:gridCol w:w="3352"/>
        <w:gridCol w:w="22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510"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一级指标</w:t>
            </w:r>
          </w:p>
        </w:tc>
        <w:tc>
          <w:tcPr>
            <w:tcW w:w="454"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分值</w:t>
            </w:r>
          </w:p>
        </w:tc>
        <w:tc>
          <w:tcPr>
            <w:tcW w:w="0" w:type="auto"/>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二级指标</w:t>
            </w:r>
          </w:p>
        </w:tc>
        <w:tc>
          <w:tcPr>
            <w:tcW w:w="537"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分值</w:t>
            </w:r>
          </w:p>
        </w:tc>
        <w:tc>
          <w:tcPr>
            <w:tcW w:w="909"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三级指标</w:t>
            </w:r>
          </w:p>
        </w:tc>
        <w:tc>
          <w:tcPr>
            <w:tcW w:w="668"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分值</w:t>
            </w:r>
          </w:p>
        </w:tc>
        <w:tc>
          <w:tcPr>
            <w:tcW w:w="3352"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1"/>
                <w:position w:val="7"/>
                <w:sz w:val="21"/>
                <w:szCs w:val="21"/>
                <w14:textFill>
                  <w14:solidFill>
                    <w14:schemeClr w14:val="dk1"/>
                  </w14:solidFill>
                </w14:textFill>
              </w:rPr>
              <w:t>指标解释</w:t>
            </w:r>
          </w:p>
        </w:tc>
        <w:tc>
          <w:tcPr>
            <w:tcW w:w="2275"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cs="仿宋"/>
                <w:b/>
                <w:i w:val="0"/>
                <w:color w:val="000000" w:themeColor="dark1"/>
                <w:sz w:val="21"/>
                <w:szCs w:val="21"/>
                <w14:textFill>
                  <w14:solidFill>
                    <w14:schemeClr w14:val="dk1"/>
                  </w14:solidFill>
                </w14:textFill>
              </w:rPr>
            </w:pPr>
            <w:r>
              <w:rPr>
                <w:rFonts w:hint="eastAsia" w:ascii="Times New Roman" w:hAnsi="Times New Roman" w:eastAsia="方正仿宋_GB2312" w:cs="仿宋"/>
                <w:b/>
                <w:i w:val="0"/>
                <w:color w:val="000000" w:themeColor="dark1"/>
                <w:spacing w:val="-9"/>
                <w:sz w:val="21"/>
                <w:szCs w:val="21"/>
                <w14:textFill>
                  <w14:solidFill>
                    <w14:schemeClr w14:val="dk1"/>
                  </w14:solidFill>
                </w14:textFill>
              </w:rPr>
              <w:t>评价标准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restar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产出</w:t>
            </w:r>
          </w:p>
        </w:tc>
        <w:tc>
          <w:tcPr>
            <w:tcW w:w="454"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40</w:t>
            </w:r>
          </w:p>
        </w:tc>
        <w:tc>
          <w:tcPr>
            <w:tcW w:w="0" w:type="auto"/>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产出数量</w:t>
            </w:r>
          </w:p>
        </w:tc>
        <w:tc>
          <w:tcPr>
            <w:tcW w:w="537"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w:t>
            </w: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发布宣传稿件数量</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反映通过平台的全年发稿量，指标值设为≥</w:t>
            </w:r>
            <w:r>
              <w:rPr>
                <w:rFonts w:hint="eastAsia" w:ascii="Times New Roman" w:hAnsi="Times New Roman" w:eastAsia="方正仿宋_GB2312" w:cs="仿宋"/>
                <w:b w:val="0"/>
                <w:i w:val="0"/>
                <w:color w:val="000000"/>
                <w:spacing w:val="-6"/>
                <w:sz w:val="21"/>
                <w:szCs w:val="21"/>
                <w:lang w:val="en-US" w:eastAsia="zh-CN"/>
              </w:rPr>
              <w:t>200</w:t>
            </w:r>
            <w:r>
              <w:rPr>
                <w:rFonts w:hint="eastAsia" w:ascii="Times New Roman" w:hAnsi="Times New Roman" w:eastAsia="方正仿宋_GB2312" w:cs="仿宋"/>
                <w:b w:val="0"/>
                <w:i w:val="0"/>
                <w:color w:val="000000"/>
                <w:spacing w:val="-6"/>
                <w:sz w:val="21"/>
                <w:szCs w:val="21"/>
              </w:rPr>
              <w:t>篇</w:t>
            </w:r>
          </w:p>
        </w:tc>
        <w:tc>
          <w:tcPr>
            <w:tcW w:w="227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（1）与设定指标值相比，完成指标值的，记该指标所赋全部分值；</w:t>
            </w:r>
          </w:p>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（2）对完成值高于指标值较多的，若是由于指标值设定明显偏低造成的，按照偏离度适当调减分值；</w:t>
            </w:r>
          </w:p>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（3）未完成指标值的，按照完成值与指标值的比例积分。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37"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出版杂志数量</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lang w:val="en-US" w:eastAsia="zh-CN"/>
              </w:rPr>
              <w:t>全年</w:t>
            </w:r>
            <w:r>
              <w:rPr>
                <w:rFonts w:hint="eastAsia" w:ascii="Times New Roman" w:hAnsi="Times New Roman" w:eastAsia="方正仿宋_GB2312" w:cs="仿宋"/>
                <w:b w:val="0"/>
                <w:i w:val="0"/>
                <w:color w:val="000000"/>
                <w:spacing w:val="-6"/>
                <w:sz w:val="21"/>
                <w:szCs w:val="21"/>
              </w:rPr>
              <w:t>出版</w:t>
            </w:r>
            <w:r>
              <w:rPr>
                <w:rFonts w:hint="eastAsia" w:ascii="Times New Roman" w:hAnsi="Times New Roman" w:eastAsia="方正仿宋_GB2312" w:cs="仿宋"/>
                <w:b w:val="0"/>
                <w:i w:val="0"/>
                <w:color w:val="000000"/>
                <w:spacing w:val="-6"/>
                <w:sz w:val="21"/>
                <w:szCs w:val="21"/>
                <w:lang w:val="en-US" w:eastAsia="zh-CN"/>
              </w:rPr>
              <w:t>杂志</w:t>
            </w:r>
            <w:r>
              <w:rPr>
                <w:rFonts w:hint="eastAsia" w:ascii="Times New Roman" w:hAnsi="Times New Roman" w:eastAsia="方正仿宋_GB2312" w:cs="仿宋"/>
                <w:b w:val="0"/>
                <w:i w:val="0"/>
                <w:color w:val="000000"/>
                <w:spacing w:val="-6"/>
                <w:sz w:val="21"/>
                <w:szCs w:val="21"/>
              </w:rPr>
              <w:t>数量≥</w:t>
            </w:r>
            <w:r>
              <w:rPr>
                <w:rFonts w:hint="eastAsia" w:ascii="Times New Roman" w:hAnsi="Times New Roman" w:eastAsia="方正仿宋_GB2312" w:cs="仿宋"/>
                <w:b w:val="0"/>
                <w:i w:val="0"/>
                <w:color w:val="000000"/>
                <w:spacing w:val="-6"/>
                <w:sz w:val="21"/>
                <w:szCs w:val="21"/>
                <w:lang w:val="en-US" w:eastAsia="zh-CN"/>
              </w:rPr>
              <w:t>9000册</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产出质量</w:t>
            </w:r>
          </w:p>
        </w:tc>
        <w:tc>
          <w:tcPr>
            <w:tcW w:w="537"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w:t>
            </w: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期刊编校差错率</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rPr>
              <w:t>反映</w:t>
            </w:r>
            <w:r>
              <w:rPr>
                <w:rFonts w:hint="eastAsia" w:ascii="Times New Roman" w:hAnsi="Times New Roman" w:eastAsia="方正仿宋_GB2312" w:cs="仿宋"/>
                <w:b w:val="0"/>
                <w:i w:val="0"/>
                <w:color w:val="000000"/>
                <w:spacing w:val="-6"/>
                <w:sz w:val="21"/>
                <w:szCs w:val="21"/>
                <w:lang w:val="en-US" w:eastAsia="zh-CN"/>
              </w:rPr>
              <w:t>刊物编校</w:t>
            </w:r>
            <w:r>
              <w:rPr>
                <w:rFonts w:hint="eastAsia" w:ascii="Times New Roman" w:hAnsi="Times New Roman" w:eastAsia="方正仿宋_GB2312" w:cs="仿宋"/>
                <w:b w:val="0"/>
                <w:i w:val="0"/>
                <w:color w:val="000000"/>
                <w:spacing w:val="-6"/>
                <w:sz w:val="21"/>
                <w:szCs w:val="21"/>
              </w:rPr>
              <w:t>的质量水平，指标值设为≤</w:t>
            </w:r>
            <w:r>
              <w:rPr>
                <w:rFonts w:hint="eastAsia" w:ascii="Times New Roman" w:hAnsi="Times New Roman" w:eastAsia="方正仿宋_GB2312" w:cs="仿宋"/>
                <w:b w:val="0"/>
                <w:i w:val="0"/>
                <w:color w:val="000000"/>
                <w:spacing w:val="-6"/>
                <w:sz w:val="21"/>
                <w:szCs w:val="21"/>
                <w:lang w:val="en-US" w:eastAsia="zh-CN"/>
              </w:rPr>
              <w:t>0.02%</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37"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装帧印制合格质量</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反映</w:t>
            </w:r>
            <w:r>
              <w:rPr>
                <w:rFonts w:hint="eastAsia" w:ascii="Times New Roman" w:hAnsi="Times New Roman" w:eastAsia="方正仿宋_GB2312" w:cs="仿宋"/>
                <w:b w:val="0"/>
                <w:i w:val="0"/>
                <w:color w:val="000000"/>
                <w:spacing w:val="-6"/>
                <w:sz w:val="21"/>
                <w:szCs w:val="21"/>
                <w:lang w:val="en-US" w:eastAsia="zh-CN"/>
              </w:rPr>
              <w:t>刊物稿件的质量水平</w:t>
            </w:r>
            <w:r>
              <w:rPr>
                <w:rFonts w:hint="eastAsia" w:ascii="Times New Roman" w:hAnsi="Times New Roman" w:eastAsia="方正仿宋_GB2312" w:cs="仿宋"/>
                <w:b w:val="0"/>
                <w:i w:val="0"/>
                <w:color w:val="000000"/>
                <w:spacing w:val="-6"/>
                <w:sz w:val="21"/>
                <w:szCs w:val="21"/>
              </w:rPr>
              <w:t>，指标值设为≥9</w:t>
            </w:r>
            <w:r>
              <w:rPr>
                <w:rFonts w:hint="eastAsia" w:ascii="Times New Roman" w:hAnsi="Times New Roman" w:eastAsia="方正仿宋_GB2312" w:cs="仿宋"/>
                <w:b w:val="0"/>
                <w:i w:val="0"/>
                <w:color w:val="000000"/>
                <w:spacing w:val="-6"/>
                <w:sz w:val="21"/>
                <w:szCs w:val="21"/>
                <w:lang w:val="en-US" w:eastAsia="zh-CN"/>
              </w:rPr>
              <w:t>5</w:t>
            </w:r>
            <w:r>
              <w:rPr>
                <w:rFonts w:hint="eastAsia" w:ascii="Times New Roman" w:hAnsi="Times New Roman" w:eastAsia="方正仿宋_GB2312" w:cs="仿宋"/>
                <w:b w:val="0"/>
                <w:i w:val="0"/>
                <w:color w:val="000000"/>
                <w:spacing w:val="-6"/>
                <w:sz w:val="21"/>
                <w:szCs w:val="21"/>
              </w:rPr>
              <w:t>%</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产出时效</w:t>
            </w:r>
          </w:p>
        </w:tc>
        <w:tc>
          <w:tcPr>
            <w:tcW w:w="537"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w:t>
            </w: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rPr>
              <w:t>出刊</w:t>
            </w:r>
            <w:r>
              <w:rPr>
                <w:rFonts w:hint="eastAsia" w:ascii="Times New Roman" w:hAnsi="Times New Roman" w:eastAsia="方正仿宋_GB2312" w:cs="仿宋"/>
                <w:b w:val="0"/>
                <w:i w:val="0"/>
                <w:color w:val="000000"/>
                <w:spacing w:val="-6"/>
                <w:sz w:val="21"/>
                <w:szCs w:val="21"/>
                <w:lang w:val="en-US" w:eastAsia="zh-CN"/>
              </w:rPr>
              <w:t>周期</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rPr>
              <w:t>反映修</w:t>
            </w:r>
            <w:r>
              <w:rPr>
                <w:rFonts w:hint="eastAsia" w:ascii="Times New Roman" w:hAnsi="Times New Roman" w:eastAsia="方正仿宋_GB2312" w:cs="仿宋"/>
                <w:b w:val="0"/>
                <w:i w:val="0"/>
                <w:color w:val="000000"/>
                <w:spacing w:val="-6"/>
                <w:sz w:val="21"/>
                <w:szCs w:val="21"/>
                <w:lang w:val="en-US" w:eastAsia="zh-CN"/>
              </w:rPr>
              <w:t>出刊</w:t>
            </w:r>
            <w:r>
              <w:rPr>
                <w:rFonts w:hint="eastAsia" w:ascii="Times New Roman" w:hAnsi="Times New Roman" w:eastAsia="方正仿宋_GB2312" w:cs="仿宋"/>
                <w:b w:val="0"/>
                <w:i w:val="0"/>
                <w:color w:val="000000"/>
                <w:spacing w:val="-6"/>
                <w:sz w:val="21"/>
                <w:szCs w:val="21"/>
              </w:rPr>
              <w:t>及时性，指标值设为每月</w:t>
            </w:r>
            <w:r>
              <w:rPr>
                <w:rFonts w:hint="eastAsia" w:ascii="Times New Roman" w:hAnsi="Times New Roman" w:eastAsia="方正仿宋_GB2312" w:cs="仿宋"/>
                <w:b w:val="0"/>
                <w:i w:val="0"/>
                <w:color w:val="000000"/>
                <w:spacing w:val="-6"/>
                <w:sz w:val="21"/>
                <w:szCs w:val="21"/>
                <w:lang w:val="en-US" w:eastAsia="zh-CN"/>
              </w:rPr>
              <w:t>出刊</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37"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舆情及时处置率</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反映</w:t>
            </w:r>
            <w:r>
              <w:rPr>
                <w:rFonts w:hint="eastAsia" w:ascii="Times New Roman" w:hAnsi="Times New Roman" w:eastAsia="方正仿宋_GB2312" w:cs="仿宋"/>
                <w:b w:val="0"/>
                <w:i w:val="0"/>
                <w:color w:val="000000"/>
                <w:spacing w:val="-6"/>
                <w:sz w:val="21"/>
                <w:szCs w:val="21"/>
                <w:lang w:val="en-US" w:eastAsia="zh-CN"/>
              </w:rPr>
              <w:t>刊物稿件舆情</w:t>
            </w:r>
            <w:r>
              <w:rPr>
                <w:rFonts w:hint="eastAsia" w:ascii="Times New Roman" w:hAnsi="Times New Roman" w:eastAsia="方正仿宋_GB2312" w:cs="仿宋"/>
                <w:b w:val="0"/>
                <w:i w:val="0"/>
                <w:color w:val="000000"/>
                <w:spacing w:val="-6"/>
                <w:sz w:val="21"/>
                <w:szCs w:val="21"/>
              </w:rPr>
              <w:t>及时性，指标值设为≥90%</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产出成本</w:t>
            </w:r>
          </w:p>
        </w:tc>
        <w:tc>
          <w:tcPr>
            <w:tcW w:w="537"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w:t>
            </w: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刊物编辑人员工资</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default"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rPr>
              <w:t>反映</w:t>
            </w:r>
            <w:r>
              <w:rPr>
                <w:rFonts w:hint="eastAsia" w:ascii="Times New Roman" w:hAnsi="Times New Roman" w:eastAsia="方正仿宋_GB2312" w:cs="仿宋"/>
                <w:b w:val="0"/>
                <w:i w:val="0"/>
                <w:color w:val="000000"/>
                <w:spacing w:val="-6"/>
                <w:sz w:val="21"/>
                <w:szCs w:val="21"/>
                <w:lang w:val="en-US" w:eastAsia="zh-CN"/>
              </w:rPr>
              <w:t>该项目的绩效工资对刊物编辑人员绩效工资的补贴情况</w:t>
            </w:r>
            <w:r>
              <w:rPr>
                <w:rFonts w:hint="eastAsia" w:ascii="Times New Roman" w:hAnsi="Times New Roman" w:eastAsia="方正仿宋_GB2312" w:cs="仿宋"/>
                <w:b w:val="0"/>
                <w:i w:val="0"/>
                <w:color w:val="000000"/>
                <w:spacing w:val="-6"/>
                <w:sz w:val="21"/>
                <w:szCs w:val="21"/>
              </w:rPr>
              <w:t>，指标值设为≤</w:t>
            </w:r>
            <w:r>
              <w:rPr>
                <w:rFonts w:hint="eastAsia" w:ascii="Times New Roman" w:hAnsi="Times New Roman" w:eastAsia="方正仿宋_GB2312" w:cs="仿宋"/>
                <w:b w:val="0"/>
                <w:i w:val="0"/>
                <w:color w:val="000000"/>
                <w:spacing w:val="-6"/>
                <w:sz w:val="21"/>
                <w:szCs w:val="21"/>
                <w:lang w:val="en-US" w:eastAsia="zh-CN"/>
              </w:rPr>
              <w:t>56万元</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0" w:type="auto"/>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37"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印刷费成本</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5</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default" w:ascii="Times New Roman" w:hAnsi="Times New Roman" w:eastAsia="方正仿宋_GB2312" w:cs="仿宋"/>
                <w:b w:val="0"/>
                <w:i w:val="0"/>
                <w:color w:val="000000"/>
                <w:spacing w:val="-6"/>
                <w:sz w:val="21"/>
                <w:szCs w:val="21"/>
                <w:lang w:val="en-US"/>
              </w:rPr>
            </w:pPr>
            <w:r>
              <w:rPr>
                <w:rFonts w:hint="eastAsia" w:ascii="Times New Roman" w:hAnsi="Times New Roman" w:eastAsia="方正仿宋_GB2312" w:cs="仿宋"/>
                <w:b w:val="0"/>
                <w:i w:val="0"/>
                <w:color w:val="000000"/>
                <w:spacing w:val="-6"/>
                <w:sz w:val="21"/>
                <w:szCs w:val="21"/>
              </w:rPr>
              <w:t>反映</w:t>
            </w:r>
            <w:r>
              <w:rPr>
                <w:rFonts w:hint="eastAsia" w:ascii="Times New Roman" w:hAnsi="Times New Roman" w:eastAsia="方正仿宋_GB2312" w:cs="仿宋"/>
                <w:b w:val="0"/>
                <w:i w:val="0"/>
                <w:color w:val="000000"/>
                <w:spacing w:val="-6"/>
                <w:sz w:val="21"/>
                <w:szCs w:val="21"/>
                <w:lang w:val="en-US" w:eastAsia="zh-CN"/>
              </w:rPr>
              <w:t>刊物的印刷</w:t>
            </w:r>
            <w:r>
              <w:rPr>
                <w:rFonts w:hint="eastAsia" w:ascii="Times New Roman" w:hAnsi="Times New Roman" w:eastAsia="方正仿宋_GB2312" w:cs="仿宋"/>
                <w:b w:val="0"/>
                <w:i w:val="0"/>
                <w:color w:val="000000"/>
                <w:spacing w:val="-6"/>
                <w:sz w:val="21"/>
                <w:szCs w:val="21"/>
              </w:rPr>
              <w:t>成本情况，指标值设为≤</w:t>
            </w:r>
            <w:r>
              <w:rPr>
                <w:rFonts w:hint="eastAsia" w:ascii="Times New Roman" w:hAnsi="Times New Roman" w:eastAsia="方正仿宋_GB2312" w:cs="仿宋"/>
                <w:b w:val="0"/>
                <w:i w:val="0"/>
                <w:color w:val="000000"/>
                <w:spacing w:val="-6"/>
                <w:sz w:val="21"/>
                <w:szCs w:val="21"/>
                <w:lang w:val="en-US" w:eastAsia="zh-CN"/>
              </w:rPr>
              <w:t>45万元</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7" w:hRule="atLeast"/>
          <w:jc w:val="center"/>
        </w:trPr>
        <w:tc>
          <w:tcPr>
            <w:tcW w:w="510" w:type="dxa"/>
            <w:vMerge w:val="restart"/>
            <w:tcBorders>
              <w:top w:val="single" w:color="999999" w:themeColor="dark1" w:themeTint="66" w:sz="6" w:space="0"/>
              <w:left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效率</w:t>
            </w:r>
          </w:p>
        </w:tc>
        <w:tc>
          <w:tcPr>
            <w:tcW w:w="454" w:type="dxa"/>
            <w:vMerge w:val="restart"/>
            <w:tcBorders>
              <w:top w:val="single" w:color="999999" w:themeColor="dark1" w:themeTint="66" w:sz="6" w:space="0"/>
              <w:left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28</w:t>
            </w:r>
          </w:p>
        </w:tc>
        <w:tc>
          <w:tcPr>
            <w:tcW w:w="557" w:type="dxa"/>
            <w:vMerge w:val="restart"/>
            <w:tcBorders>
              <w:top w:val="single" w:color="999999" w:themeColor="dark1" w:themeTint="66" w:sz="6" w:space="0"/>
              <w:left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项目效益</w:t>
            </w:r>
          </w:p>
        </w:tc>
        <w:tc>
          <w:tcPr>
            <w:tcW w:w="537" w:type="dxa"/>
            <w:vMerge w:val="restart"/>
            <w:tcBorders>
              <w:top w:val="single" w:color="999999" w:themeColor="dark1" w:themeTint="66" w:sz="6" w:space="0"/>
              <w:left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28</w:t>
            </w: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发挥党刊的理论宣传和实践指导功能</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rPr>
              <w:t>反映项目</w:t>
            </w:r>
            <w:r>
              <w:rPr>
                <w:rFonts w:hint="eastAsia" w:ascii="Times New Roman" w:hAnsi="Times New Roman" w:eastAsia="方正仿宋_GB2312" w:cs="仿宋"/>
                <w:b w:val="0"/>
                <w:i w:val="0"/>
                <w:color w:val="000000"/>
                <w:spacing w:val="-6"/>
                <w:sz w:val="21"/>
                <w:szCs w:val="21"/>
                <w:lang w:val="en-US" w:eastAsia="zh-CN"/>
              </w:rPr>
              <w:t>发挥党刊的理论宣传和实践指导功能</w:t>
            </w:r>
            <w:r>
              <w:rPr>
                <w:rFonts w:hint="eastAsia" w:ascii="Times New Roman" w:hAnsi="Times New Roman" w:eastAsia="方正仿宋_GB2312" w:cs="仿宋"/>
                <w:b w:val="0"/>
                <w:i w:val="0"/>
                <w:color w:val="000000"/>
                <w:spacing w:val="-6"/>
                <w:sz w:val="21"/>
                <w:szCs w:val="21"/>
              </w:rPr>
              <w:t>，指标值设为</w:t>
            </w:r>
            <w:r>
              <w:rPr>
                <w:rFonts w:hint="eastAsia" w:ascii="Times New Roman" w:hAnsi="Times New Roman" w:eastAsia="方正仿宋_GB2312" w:cs="仿宋"/>
                <w:b w:val="0"/>
                <w:i w:val="0"/>
                <w:color w:val="000000"/>
                <w:spacing w:val="-6"/>
                <w:sz w:val="21"/>
                <w:szCs w:val="21"/>
                <w:lang w:val="en-US" w:eastAsia="zh-CN"/>
              </w:rPr>
              <w:t>有效发挥</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left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left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57" w:type="dxa"/>
            <w:vMerge w:val="continue"/>
            <w:tcBorders>
              <w:left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37" w:type="dxa"/>
            <w:vMerge w:val="continue"/>
            <w:tcBorders>
              <w:left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增强刊物可读性和影响力</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default"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lang w:val="en-US" w:eastAsia="zh-CN"/>
              </w:rPr>
              <w:t>10</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default" w:ascii="Times New Roman" w:hAnsi="Times New Roman" w:eastAsia="方正仿宋_GB2312" w:cs="仿宋"/>
                <w:b w:val="0"/>
                <w:i w:val="0"/>
                <w:color w:val="000000"/>
                <w:spacing w:val="-6"/>
                <w:sz w:val="21"/>
                <w:szCs w:val="21"/>
                <w:lang w:val="en-US" w:eastAsia="zh-CN"/>
              </w:rPr>
            </w:pPr>
            <w:r>
              <w:rPr>
                <w:rFonts w:hint="eastAsia" w:ascii="Times New Roman" w:hAnsi="Times New Roman" w:eastAsia="方正仿宋_GB2312" w:cs="仿宋"/>
                <w:b w:val="0"/>
                <w:i w:val="0"/>
                <w:color w:val="000000"/>
                <w:spacing w:val="-6"/>
                <w:sz w:val="21"/>
                <w:szCs w:val="21"/>
              </w:rPr>
              <w:t>反映刊物可读性和影响力，指标值设为</w:t>
            </w:r>
            <w:r>
              <w:rPr>
                <w:rFonts w:hint="eastAsia" w:ascii="Times New Roman" w:hAnsi="Times New Roman" w:eastAsia="方正仿宋_GB2312" w:cs="仿宋"/>
                <w:b w:val="0"/>
                <w:i w:val="0"/>
                <w:color w:val="000000"/>
                <w:spacing w:val="-6"/>
                <w:sz w:val="21"/>
                <w:szCs w:val="21"/>
                <w:lang w:val="en-US" w:eastAsia="zh-CN"/>
              </w:rPr>
              <w:t>持续增强</w:t>
            </w:r>
          </w:p>
        </w:tc>
        <w:tc>
          <w:tcPr>
            <w:tcW w:w="2275"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vMerge w:val="continue"/>
            <w:tcBorders>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454" w:type="dxa"/>
            <w:vMerge w:val="continue"/>
            <w:tcBorders>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57" w:type="dxa"/>
            <w:vMerge w:val="continue"/>
            <w:tcBorders>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537" w:type="dxa"/>
            <w:vMerge w:val="continue"/>
            <w:tcBorders>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p>
        </w:tc>
        <w:tc>
          <w:tcPr>
            <w:tcW w:w="90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作者队伍对刊物满意度</w:t>
            </w:r>
          </w:p>
        </w:tc>
        <w:tc>
          <w:tcPr>
            <w:tcW w:w="66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8</w:t>
            </w:r>
          </w:p>
        </w:tc>
        <w:tc>
          <w:tcPr>
            <w:tcW w:w="335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反映</w:t>
            </w:r>
            <w:r>
              <w:rPr>
                <w:rFonts w:hint="eastAsia" w:ascii="Times New Roman" w:hAnsi="Times New Roman" w:eastAsia="方正仿宋_GB2312" w:cs="仿宋"/>
                <w:b w:val="0"/>
                <w:i w:val="0"/>
                <w:color w:val="000000"/>
                <w:spacing w:val="-6"/>
                <w:sz w:val="21"/>
                <w:szCs w:val="21"/>
                <w:lang w:val="en-US" w:eastAsia="zh-CN"/>
              </w:rPr>
              <w:t>供稿者对</w:t>
            </w:r>
            <w:r>
              <w:rPr>
                <w:rFonts w:hint="eastAsia" w:ascii="Times New Roman" w:hAnsi="Times New Roman" w:eastAsia="方正仿宋_GB2312" w:cs="仿宋"/>
                <w:b w:val="0"/>
                <w:i w:val="0"/>
                <w:color w:val="000000"/>
                <w:spacing w:val="-6"/>
                <w:sz w:val="21"/>
                <w:szCs w:val="21"/>
              </w:rPr>
              <w:t>项目实施效果的满意程度，指标值设为≥</w:t>
            </w:r>
            <w:r>
              <w:rPr>
                <w:rFonts w:hint="eastAsia" w:ascii="Times New Roman" w:hAnsi="Times New Roman" w:eastAsia="方正仿宋_GB2312" w:cs="仿宋"/>
                <w:b w:val="0"/>
                <w:i w:val="0"/>
                <w:color w:val="000000"/>
                <w:spacing w:val="-6"/>
                <w:sz w:val="21"/>
                <w:szCs w:val="21"/>
                <w:lang w:val="en-US" w:eastAsia="zh-CN"/>
              </w:rPr>
              <w:t>9</w:t>
            </w:r>
            <w:r>
              <w:rPr>
                <w:rFonts w:hint="eastAsia" w:ascii="Times New Roman" w:hAnsi="Times New Roman" w:eastAsia="方正仿宋_GB2312" w:cs="仿宋"/>
                <w:b w:val="0"/>
                <w:i w:val="0"/>
                <w:color w:val="000000"/>
                <w:spacing w:val="-6"/>
                <w:sz w:val="21"/>
                <w:szCs w:val="21"/>
              </w:rPr>
              <w:t>0%</w:t>
            </w:r>
          </w:p>
        </w:tc>
        <w:tc>
          <w:tcPr>
            <w:tcW w:w="2275"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10"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总分</w:t>
            </w:r>
          </w:p>
        </w:tc>
        <w:tc>
          <w:tcPr>
            <w:tcW w:w="454"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100</w:t>
            </w:r>
          </w:p>
        </w:tc>
        <w:tc>
          <w:tcPr>
            <w:tcW w:w="557"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w:t>
            </w:r>
          </w:p>
        </w:tc>
        <w:tc>
          <w:tcPr>
            <w:tcW w:w="537"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100</w:t>
            </w:r>
          </w:p>
        </w:tc>
        <w:tc>
          <w:tcPr>
            <w:tcW w:w="909"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right"/>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w:t>
            </w:r>
          </w:p>
        </w:tc>
        <w:tc>
          <w:tcPr>
            <w:tcW w:w="668"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center"/>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100</w:t>
            </w:r>
          </w:p>
        </w:tc>
        <w:tc>
          <w:tcPr>
            <w:tcW w:w="3352"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right"/>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w:t>
            </w:r>
          </w:p>
        </w:tc>
        <w:tc>
          <w:tcPr>
            <w:tcW w:w="2275"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pPr>
              <w:pStyle w:val="32"/>
              <w:keepNext/>
              <w:keepLines w:val="0"/>
              <w:pageBreakBefore w:val="0"/>
              <w:kinsoku/>
              <w:wordWrap/>
              <w:overflowPunct/>
              <w:topLinePunct w:val="0"/>
              <w:bidi w:val="0"/>
              <w:adjustRightInd/>
              <w:snapToGrid w:val="0"/>
              <w:spacing w:before="219" w:line="240" w:lineRule="auto"/>
              <w:ind w:left="0" w:leftChars="0" w:right="0" w:rightChars="0" w:firstLine="0" w:firstLineChars="0"/>
              <w:jc w:val="left"/>
              <w:rPr>
                <w:rFonts w:hint="eastAsia" w:ascii="Times New Roman" w:hAnsi="Times New Roman" w:eastAsia="方正仿宋_GB2312" w:cs="仿宋"/>
                <w:b w:val="0"/>
                <w:i w:val="0"/>
                <w:color w:val="000000"/>
                <w:spacing w:val="-6"/>
                <w:sz w:val="21"/>
                <w:szCs w:val="21"/>
              </w:rPr>
            </w:pPr>
            <w:r>
              <w:rPr>
                <w:rFonts w:hint="eastAsia" w:ascii="Times New Roman" w:hAnsi="Times New Roman" w:eastAsia="方正仿宋_GB2312" w:cs="仿宋"/>
                <w:b w:val="0"/>
                <w:i w:val="0"/>
                <w:color w:val="000000"/>
                <w:spacing w:val="-6"/>
                <w:sz w:val="21"/>
                <w:szCs w:val="21"/>
              </w:rPr>
              <w:t>——</w:t>
            </w:r>
          </w:p>
        </w:tc>
      </w:tr>
    </w:tbl>
    <w:p>
      <w:pPr>
        <w:keepNext w:val="0"/>
        <w:keepLines w:val="0"/>
        <w:pageBreakBefore w:val="0"/>
        <w:widowControl w:val="0"/>
        <w:kinsoku/>
        <w:wordWrap/>
        <w:overflowPunct/>
        <w:topLinePunct w:val="0"/>
        <w:bidi w:val="0"/>
        <w:adjustRightInd/>
        <w:snapToGrid/>
        <w:spacing w:line="600" w:lineRule="exact"/>
        <w:ind w:left="0" w:leftChars="0" w:right="0" w:firstLine="0" w:firstLineChars="0"/>
        <w:textAlignment w:val="auto"/>
        <w:rPr>
          <w:rFonts w:ascii="Times New Roman" w:hAnsi="Times New Roman" w:eastAsia="方正仿宋_GB2312"/>
          <w:highlight w:val="none"/>
          <w:lang w:val="en-US"/>
        </w:rPr>
        <w:sectPr>
          <w:headerReference r:id="rId4" w:type="default"/>
          <w:footerReference r:id="rId5" w:type="default"/>
          <w:pgSz w:w="11911" w:h="16838"/>
          <w:pgMar w:top="2098" w:right="1474" w:bottom="1984" w:left="1587" w:header="867" w:footer="867" w:gutter="0"/>
          <w:pgBorders>
            <w:top w:val="none" w:sz="0" w:space="0"/>
            <w:left w:val="none" w:sz="0" w:space="0"/>
            <w:bottom w:val="none" w:sz="0" w:space="0"/>
            <w:right w:val="none" w:sz="0" w:space="0"/>
          </w:pgBorders>
          <w:pgNumType w:fmt="decimal"/>
          <w:cols w:space="425" w:num="1"/>
          <w:docGrid w:linePitch="312" w:charSpace="0"/>
        </w:sectPr>
      </w:pPr>
    </w:p>
    <w:p>
      <w:pPr>
        <w:pStyle w:val="4"/>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textAlignment w:val="auto"/>
        <w:rPr>
          <w:rFonts w:ascii="Times New Roman" w:hAnsi="Times New Roman" w:eastAsia="方正仿宋_GB2312"/>
          <w:sz w:val="32"/>
          <w:szCs w:val="32"/>
          <w:highlight w:val="none"/>
          <w:lang w:val="en-US"/>
        </w:rPr>
      </w:pPr>
      <w:bookmarkStart w:id="105" w:name="_Toc25857"/>
      <w:bookmarkStart w:id="106" w:name="_Toc20529"/>
      <w:bookmarkStart w:id="107" w:name="_Toc16409"/>
      <w:bookmarkStart w:id="108" w:name="_Toc11631"/>
      <w:bookmarkStart w:id="109" w:name="_Toc32737"/>
      <w:bookmarkStart w:id="110" w:name="_Toc29095"/>
      <w:bookmarkStart w:id="111" w:name="_Toc18752"/>
      <w:bookmarkStart w:id="112" w:name="_Toc3517"/>
      <w:bookmarkStart w:id="113" w:name="_Toc29284"/>
      <w:r>
        <w:rPr>
          <w:rFonts w:hint="eastAsia" w:ascii="Times New Roman" w:hAnsi="Times New Roman" w:eastAsia="方正仿宋_GB2312" w:cs="仿宋"/>
          <w:sz w:val="32"/>
          <w:szCs w:val="32"/>
          <w:highlight w:val="none"/>
          <w:lang w:val="en-US"/>
        </w:rPr>
        <w:t>4.</w:t>
      </w:r>
      <w:r>
        <w:rPr>
          <w:rFonts w:hint="eastAsia" w:ascii="Times New Roman" w:hAnsi="Times New Roman" w:eastAsia="方正仿宋_GB2312"/>
          <w:sz w:val="32"/>
          <w:szCs w:val="32"/>
          <w:highlight w:val="none"/>
          <w:lang w:val="en-US"/>
        </w:rPr>
        <w:t>绩效评价结果的确定标准</w:t>
      </w:r>
      <w:bookmarkEnd w:id="105"/>
      <w:bookmarkEnd w:id="106"/>
      <w:bookmarkEnd w:id="107"/>
      <w:bookmarkEnd w:id="108"/>
      <w:bookmarkEnd w:id="109"/>
      <w:bookmarkEnd w:id="110"/>
      <w:bookmarkEnd w:id="111"/>
      <w:bookmarkEnd w:id="112"/>
      <w:bookmarkEnd w:id="113"/>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ascii="Times New Roman" w:hAnsi="Times New Roman" w:eastAsia="方正仿宋_GB2312"/>
          <w:sz w:val="32"/>
          <w:szCs w:val="32"/>
          <w:highlight w:val="none"/>
        </w:rPr>
      </w:pPr>
      <w:r>
        <w:rPr>
          <w:rFonts w:hint="eastAsia" w:ascii="Times New Roman" w:hAnsi="Times New Roman" w:eastAsia="方正仿宋_GB2312"/>
          <w:sz w:val="32"/>
          <w:szCs w:val="32"/>
          <w:highlight w:val="none"/>
        </w:rPr>
        <w:t>本次绩效评价标准是依据绩效评价基本原理，按照《关于印发〈项目支出绩效评价管理暂行办法〉的通知》（财预〔2020〕10号）第十八条绩效评价结果采取评分和评级相结合的方式，具体分值和等级可根据不同评价内容设定，总分值为100分，绩效评级分优、良、中、差。评价得分高于90分（含90分）的，绩效评级为“优”；得分在80（含80分）～90分的，绩效评级为“良”；得分在60（含60分）～80分的，绩效评级为“中”，得分在60分以下的，绩效评级为“差”。</w:t>
      </w:r>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outlineLvl w:val="1"/>
        <w:rPr>
          <w:rFonts w:hint="eastAsia" w:ascii="Times New Roman" w:hAnsi="Times New Roman" w:eastAsia="方正仿宋_GB2312"/>
          <w:sz w:val="32"/>
          <w:szCs w:val="32"/>
          <w:highlight w:val="none"/>
          <w:lang w:val="en-US"/>
        </w:rPr>
      </w:pPr>
      <w:bookmarkStart w:id="114" w:name="_Toc15343"/>
      <w:r>
        <w:rPr>
          <w:rFonts w:hint="eastAsia" w:ascii="Times New Roman" w:hAnsi="Times New Roman" w:eastAsia="方正仿宋_GB2312"/>
          <w:sz w:val="32"/>
          <w:szCs w:val="32"/>
          <w:highlight w:val="none"/>
          <w:lang w:val="en-US"/>
        </w:rPr>
        <w:t>（三）绩效评价工作过程</w:t>
      </w:r>
      <w:bookmarkEnd w:id="114"/>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outlineLvl w:val="2"/>
        <w:rPr>
          <w:rFonts w:hint="eastAsia" w:ascii="Times New Roman" w:hAnsi="Times New Roman" w:eastAsia="方正仿宋_GB2312"/>
          <w:sz w:val="32"/>
          <w:szCs w:val="32"/>
          <w:highlight w:val="none"/>
          <w:lang w:val="en-US" w:eastAsia="zh-CN"/>
        </w:rPr>
      </w:pPr>
      <w:bookmarkStart w:id="115" w:name="_Toc28054"/>
      <w:r>
        <w:rPr>
          <w:rFonts w:hint="eastAsia" w:ascii="Times New Roman" w:hAnsi="Times New Roman" w:eastAsia="方正仿宋_GB2312" w:cs="仿宋"/>
          <w:sz w:val="32"/>
          <w:szCs w:val="32"/>
          <w:highlight w:val="none"/>
          <w:lang w:val="en-US"/>
        </w:rPr>
        <w:t>1.</w:t>
      </w:r>
      <w:r>
        <w:rPr>
          <w:rFonts w:hint="eastAsia" w:ascii="Times New Roman" w:hAnsi="Times New Roman" w:eastAsia="方正仿宋_GB2312"/>
          <w:sz w:val="32"/>
          <w:szCs w:val="32"/>
          <w:highlight w:val="none"/>
          <w:lang w:val="en-US" w:eastAsia="zh-CN"/>
        </w:rPr>
        <w:t>前期准备</w:t>
      </w:r>
      <w:bookmarkEnd w:id="115"/>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eastAsia="zh-CN"/>
        </w:rPr>
        <w:t>2026年3月16日-3</w:t>
      </w:r>
      <w:r>
        <w:rPr>
          <w:rFonts w:hint="eastAsia" w:ascii="Times New Roman" w:hAnsi="Times New Roman" w:eastAsia="方正仿宋_GB2312"/>
          <w:sz w:val="32"/>
          <w:szCs w:val="32"/>
          <w:highlight w:val="none"/>
          <w:lang w:val="en-US"/>
        </w:rPr>
        <w:t>月</w:t>
      </w:r>
      <w:r>
        <w:rPr>
          <w:rFonts w:hint="eastAsia" w:ascii="Times New Roman" w:hAnsi="Times New Roman" w:eastAsia="方正仿宋_GB2312"/>
          <w:sz w:val="32"/>
          <w:szCs w:val="32"/>
          <w:highlight w:val="none"/>
          <w:lang w:val="en-US" w:eastAsia="zh-CN"/>
        </w:rPr>
        <w:t>17日</w:t>
      </w:r>
    </w:p>
    <w:p>
      <w:pPr>
        <w:keepNext w:val="0"/>
        <w:keepLines w:val="0"/>
        <w:pageBreakBefore w:val="0"/>
        <w:widowControl w:val="0"/>
        <w:shd w:val="clear"/>
        <w:kinsoku/>
        <w:wordWrap/>
        <w:overflowPunct/>
        <w:topLinePunct w:val="0"/>
        <w:autoSpaceDE w:val="0"/>
        <w:autoSpaceDN w:val="0"/>
        <w:bidi w:val="0"/>
        <w:adjustRightInd/>
        <w:snapToGrid/>
        <w:spacing w:line="600" w:lineRule="exact"/>
        <w:ind w:left="0" w:leftChars="0" w:right="0" w:firstLine="640" w:firstLineChars="200"/>
        <w:textAlignment w:val="auto"/>
        <w:outlineLvl w:val="9"/>
        <w:rPr>
          <w:rFonts w:hint="default" w:ascii="Times New Roman" w:hAnsi="Times New Roman" w:eastAsia="方正仿宋_GB2312"/>
          <w:lang w:val="en-US" w:eastAsia="zh-CN"/>
        </w:rPr>
      </w:pPr>
      <w:r>
        <w:rPr>
          <w:rFonts w:hint="eastAsia" w:ascii="Times New Roman" w:hAnsi="Times New Roman" w:eastAsia="方正仿宋_GB2312" w:cs="仿宋"/>
          <w:sz w:val="32"/>
          <w:szCs w:val="32"/>
          <w:highlight w:val="none"/>
          <w:lang w:val="en-US" w:eastAsia="zh-CN"/>
        </w:rPr>
        <w:t>充分了解少数民族刊物业务补助项目2025年经费使用情况。</w:t>
      </w: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outlineLvl w:val="2"/>
        <w:rPr>
          <w:rFonts w:hint="eastAsia" w:ascii="Times New Roman" w:hAnsi="Times New Roman" w:eastAsia="方正仿宋_GB2312" w:cs="仿宋"/>
          <w:sz w:val="32"/>
          <w:szCs w:val="32"/>
          <w:highlight w:val="none"/>
          <w:lang w:val="en-US" w:eastAsia="zh-CN"/>
        </w:rPr>
      </w:pPr>
      <w:bookmarkStart w:id="116" w:name="_Toc1756"/>
      <w:r>
        <w:rPr>
          <w:rFonts w:hint="eastAsia" w:ascii="Times New Roman" w:hAnsi="Times New Roman" w:eastAsia="方正仿宋_GB2312" w:cs="仿宋"/>
          <w:sz w:val="32"/>
          <w:szCs w:val="32"/>
          <w:highlight w:val="none"/>
          <w:lang w:val="en-US"/>
        </w:rPr>
        <w:t>2</w:t>
      </w:r>
      <w:r>
        <w:rPr>
          <w:rFonts w:hint="eastAsia" w:ascii="Times New Roman" w:hAnsi="Times New Roman" w:eastAsia="方正仿宋_GB2312" w:cs="仿宋"/>
          <w:sz w:val="32"/>
          <w:szCs w:val="32"/>
          <w:highlight w:val="none"/>
          <w:lang w:val="en-US" w:eastAsia="zh-CN"/>
        </w:rPr>
        <w:t>.组织实施和评价分析</w:t>
      </w:r>
      <w:bookmarkEnd w:id="116"/>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ascii="Times New Roman" w:hAnsi="Times New Roman" w:eastAsia="方正仿宋_GB2312"/>
          <w:b/>
          <w:bCs/>
          <w:sz w:val="32"/>
          <w:szCs w:val="32"/>
          <w:highlight w:val="none"/>
          <w:lang w:val="en-US"/>
        </w:rPr>
      </w:pPr>
      <w:r>
        <w:rPr>
          <w:rFonts w:hint="eastAsia" w:ascii="Times New Roman" w:hAnsi="Times New Roman" w:eastAsia="方正仿宋_GB2312"/>
          <w:b/>
          <w:bCs/>
          <w:sz w:val="32"/>
          <w:szCs w:val="32"/>
          <w:highlight w:val="none"/>
          <w:lang w:val="en-US" w:eastAsia="zh-CN"/>
        </w:rPr>
        <w:t>（1）</w:t>
      </w:r>
      <w:r>
        <w:rPr>
          <w:rFonts w:hint="eastAsia" w:ascii="Times New Roman" w:hAnsi="Times New Roman" w:eastAsia="方正仿宋_GB2312"/>
          <w:b/>
          <w:bCs/>
          <w:sz w:val="32"/>
          <w:szCs w:val="32"/>
          <w:highlight w:val="none"/>
          <w:lang w:val="en-US"/>
        </w:rPr>
        <w:t>评价时间及主要工作进程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rPr>
        <w:t>①数据收</w:t>
      </w:r>
      <w:r>
        <w:rPr>
          <w:rFonts w:hint="eastAsia" w:ascii="Times New Roman" w:hAnsi="Times New Roman" w:eastAsia="方正仿宋_GB2312"/>
          <w:sz w:val="32"/>
          <w:szCs w:val="32"/>
          <w:highlight w:val="none"/>
          <w:lang w:val="en-US" w:eastAsia="zh-CN"/>
        </w:rPr>
        <w:t>集</w:t>
      </w:r>
      <w:r>
        <w:rPr>
          <w:rFonts w:hint="eastAsia" w:ascii="Times New Roman" w:hAnsi="Times New Roman" w:eastAsia="方正仿宋_GB2312"/>
          <w:sz w:val="32"/>
          <w:szCs w:val="32"/>
          <w:highlight w:val="none"/>
          <w:lang w:val="en-US"/>
        </w:rPr>
        <w:t>202</w:t>
      </w:r>
      <w:r>
        <w:rPr>
          <w:rFonts w:hint="eastAsia" w:ascii="Times New Roman" w:hAnsi="Times New Roman" w:eastAsia="方正仿宋_GB2312"/>
          <w:sz w:val="32"/>
          <w:szCs w:val="32"/>
          <w:highlight w:val="none"/>
          <w:lang w:val="en-US" w:eastAsia="zh-CN"/>
        </w:rPr>
        <w:t>6</w:t>
      </w:r>
      <w:r>
        <w:rPr>
          <w:rFonts w:hint="eastAsia" w:ascii="Times New Roman" w:hAnsi="Times New Roman" w:eastAsia="方正仿宋_GB2312"/>
          <w:sz w:val="32"/>
          <w:szCs w:val="32"/>
          <w:highlight w:val="none"/>
          <w:lang w:val="en-US"/>
        </w:rPr>
        <w:t>年</w:t>
      </w:r>
      <w:r>
        <w:rPr>
          <w:rFonts w:hint="eastAsia" w:ascii="Times New Roman" w:hAnsi="Times New Roman" w:eastAsia="方正仿宋_GB2312"/>
          <w:sz w:val="32"/>
          <w:szCs w:val="32"/>
          <w:highlight w:val="none"/>
          <w:lang w:val="en-US" w:eastAsia="zh-CN"/>
        </w:rPr>
        <w:t>3</w:t>
      </w:r>
      <w:r>
        <w:rPr>
          <w:rFonts w:hint="eastAsia" w:ascii="Times New Roman" w:hAnsi="Times New Roman" w:eastAsia="方正仿宋_GB2312"/>
          <w:sz w:val="32"/>
          <w:szCs w:val="32"/>
          <w:highlight w:val="none"/>
          <w:lang w:val="en-US"/>
        </w:rPr>
        <w:t>月</w:t>
      </w:r>
      <w:r>
        <w:rPr>
          <w:rFonts w:hint="eastAsia" w:ascii="Times New Roman" w:hAnsi="Times New Roman" w:eastAsia="方正仿宋_GB2312"/>
          <w:sz w:val="32"/>
          <w:szCs w:val="32"/>
          <w:highlight w:val="none"/>
          <w:lang w:val="en-US" w:eastAsia="zh-CN"/>
        </w:rPr>
        <w:t>17日-3月19日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rPr>
        <w:t>收集了相关数据，并对收集的数据进行了汇总和分析</w:t>
      </w:r>
      <w:r>
        <w:rPr>
          <w:rFonts w:hint="eastAsia" w:ascii="Times New Roman" w:hAnsi="Times New Roman" w:eastAsia="方正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sz w:val="32"/>
          <w:szCs w:val="32"/>
          <w:highlight w:val="none"/>
          <w:lang w:val="en-US" w:eastAsia="zh-CN"/>
        </w:rPr>
      </w:pPr>
      <w:r>
        <w:rPr>
          <w:rFonts w:hint="eastAsia" w:ascii="Times New Roman" w:hAnsi="Times New Roman"/>
          <w:sz w:val="32"/>
          <w:szCs w:val="32"/>
          <w:highlight w:val="none"/>
          <w:lang w:val="en-US" w:eastAsia="zh-CN"/>
        </w:rPr>
        <w:t>②</w:t>
      </w:r>
      <w:r>
        <w:rPr>
          <w:rFonts w:hint="eastAsia" w:ascii="Times New Roman" w:hAnsi="Times New Roman" w:eastAsia="方正仿宋_GB2312"/>
          <w:sz w:val="32"/>
          <w:szCs w:val="32"/>
          <w:highlight w:val="none"/>
          <w:lang w:val="en-US"/>
        </w:rPr>
        <w:t>撰写绩效评价报告202</w:t>
      </w:r>
      <w:r>
        <w:rPr>
          <w:rFonts w:hint="eastAsia" w:ascii="Times New Roman" w:hAnsi="Times New Roman" w:eastAsia="方正仿宋_GB2312"/>
          <w:sz w:val="32"/>
          <w:szCs w:val="32"/>
          <w:highlight w:val="none"/>
          <w:lang w:val="en-US" w:eastAsia="zh-CN"/>
        </w:rPr>
        <w:t>6</w:t>
      </w:r>
      <w:r>
        <w:rPr>
          <w:rFonts w:hint="eastAsia" w:ascii="Times New Roman" w:hAnsi="Times New Roman" w:eastAsia="方正仿宋_GB2312"/>
          <w:sz w:val="32"/>
          <w:szCs w:val="32"/>
          <w:highlight w:val="none"/>
          <w:lang w:val="en-US"/>
        </w:rPr>
        <w:t>年</w:t>
      </w:r>
      <w:r>
        <w:rPr>
          <w:rFonts w:hint="eastAsia" w:ascii="Times New Roman" w:hAnsi="Times New Roman" w:eastAsia="方正仿宋_GB2312"/>
          <w:sz w:val="32"/>
          <w:szCs w:val="32"/>
          <w:highlight w:val="none"/>
          <w:lang w:val="en-US" w:eastAsia="zh-CN"/>
        </w:rPr>
        <w:t>3</w:t>
      </w:r>
      <w:r>
        <w:rPr>
          <w:rFonts w:hint="eastAsia" w:ascii="Times New Roman" w:hAnsi="Times New Roman" w:eastAsia="方正仿宋_GB2312"/>
          <w:sz w:val="32"/>
          <w:szCs w:val="32"/>
          <w:highlight w:val="none"/>
          <w:lang w:val="en-US"/>
        </w:rPr>
        <w:t>月</w:t>
      </w:r>
      <w:r>
        <w:rPr>
          <w:rFonts w:hint="eastAsia" w:ascii="Times New Roman" w:hAnsi="Times New Roman" w:eastAsia="方正仿宋_GB2312"/>
          <w:sz w:val="32"/>
          <w:szCs w:val="32"/>
          <w:highlight w:val="none"/>
          <w:lang w:val="en-US" w:eastAsia="zh-CN"/>
        </w:rPr>
        <w:t>20日-3月27日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bCs/>
          <w:sz w:val="32"/>
          <w:szCs w:val="32"/>
          <w:lang w:val="en-US" w:eastAsia="zh-CN" w:bidi="zh-CN"/>
        </w:rPr>
      </w:pPr>
      <w:r>
        <w:rPr>
          <w:rFonts w:hint="eastAsia" w:ascii="Times New Roman" w:hAnsi="Times New Roman" w:eastAsia="方正仿宋_GB2312"/>
          <w:sz w:val="32"/>
          <w:szCs w:val="32"/>
          <w:highlight w:val="none"/>
          <w:lang w:val="en-US"/>
        </w:rPr>
        <w:t>按照要求完成了绩效评价报告。</w:t>
      </w:r>
      <w:bookmarkStart w:id="117" w:name="_Toc20506"/>
      <w:bookmarkStart w:id="118" w:name="_Toc18310"/>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left="0" w:leftChars="0" w:right="0" w:rightChars="0" w:firstLine="642" w:firstLineChars="200"/>
        <w:jc w:val="left"/>
        <w:textAlignment w:val="auto"/>
        <w:outlineLvl w:val="2"/>
        <w:rPr>
          <w:rFonts w:hint="eastAsia"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b/>
          <w:bCs/>
          <w:sz w:val="32"/>
          <w:szCs w:val="32"/>
          <w:lang w:val="en-US" w:eastAsia="zh-CN" w:bidi="zh-CN"/>
        </w:rPr>
        <w:t>3.</w:t>
      </w:r>
      <w:r>
        <w:rPr>
          <w:rFonts w:hint="eastAsia" w:ascii="Times New Roman" w:hAnsi="Times New Roman" w:eastAsia="方正仿宋_GB2312" w:cs="仿宋"/>
          <w:sz w:val="32"/>
          <w:szCs w:val="32"/>
          <w:highlight w:val="none"/>
          <w:lang w:val="en-US" w:eastAsia="zh-CN"/>
        </w:rPr>
        <w:t>沟通反馈</w:t>
      </w:r>
      <w:bookmarkEnd w:id="117"/>
      <w:bookmarkEnd w:id="118"/>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eastAsia="zh-CN"/>
        </w:rPr>
        <w:t>与本项目负责部门进行沟通反馈。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outlineLvl w:val="0"/>
        <w:rPr>
          <w:rFonts w:ascii="Times New Roman" w:hAnsi="Times New Roman" w:eastAsia="方正仿宋_GB2312"/>
          <w:b/>
          <w:bCs/>
          <w:sz w:val="32"/>
          <w:szCs w:val="32"/>
          <w:highlight w:val="none"/>
          <w:lang w:val="en-US"/>
        </w:rPr>
      </w:pPr>
      <w:bookmarkStart w:id="119" w:name="_Toc23172"/>
      <w:bookmarkStart w:id="120" w:name="_Toc453"/>
      <w:bookmarkStart w:id="121" w:name="_Toc20468"/>
      <w:bookmarkStart w:id="122" w:name="_Toc29891"/>
      <w:bookmarkStart w:id="123" w:name="_Toc24252"/>
      <w:bookmarkStart w:id="124" w:name="_Toc25606"/>
      <w:bookmarkStart w:id="125" w:name="_Toc28341"/>
      <w:bookmarkStart w:id="126" w:name="_Toc23139"/>
      <w:bookmarkStart w:id="127" w:name="_Toc29377"/>
      <w:r>
        <w:rPr>
          <w:rFonts w:hint="eastAsia" w:ascii="Times New Roman" w:hAnsi="Times New Roman" w:eastAsia="方正仿宋_GB2312"/>
          <w:b/>
          <w:bCs/>
          <w:sz w:val="32"/>
          <w:szCs w:val="32"/>
          <w:highlight w:val="none"/>
          <w:lang w:val="en-US"/>
        </w:rPr>
        <w:t>三、综合评价情况及评价结论</w:t>
      </w:r>
      <w:bookmarkEnd w:id="119"/>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ascii="Times New Roman" w:hAnsi="Times New Roman" w:eastAsia="方正仿宋_GB2312"/>
          <w:sz w:val="32"/>
          <w:szCs w:val="32"/>
          <w:highlight w:val="none"/>
          <w:lang w:val="en-US"/>
        </w:rPr>
      </w:pPr>
      <w:r>
        <w:rPr>
          <w:rFonts w:hint="eastAsia" w:ascii="Times New Roman" w:hAnsi="Times New Roman" w:eastAsia="方正仿宋_GB2312"/>
          <w:sz w:val="32"/>
          <w:szCs w:val="32"/>
          <w:highlight w:val="none"/>
          <w:lang w:val="en-US" w:eastAsia="zh-CN"/>
        </w:rPr>
        <w:t>运用</w:t>
      </w:r>
      <w:r>
        <w:rPr>
          <w:rFonts w:ascii="Times New Roman" w:hAnsi="Times New Roman" w:eastAsia="方正仿宋_GB2312"/>
          <w:sz w:val="32"/>
          <w:szCs w:val="32"/>
          <w:highlight w:val="none"/>
          <w:lang w:val="en-US"/>
        </w:rPr>
        <w:t>评价指标体系及评分标准，通过数据采集、问卷调查及访谈，对</w:t>
      </w:r>
      <w:r>
        <w:rPr>
          <w:rFonts w:hint="eastAsia" w:ascii="Times New Roman" w:hAnsi="Times New Roman" w:eastAsia="方正仿宋_GB2312"/>
          <w:sz w:val="32"/>
          <w:szCs w:val="32"/>
          <w:highlight w:val="none"/>
          <w:lang w:eastAsia="zh-CN"/>
        </w:rPr>
        <w:t>《</w:t>
      </w:r>
      <w:r>
        <w:rPr>
          <w:rFonts w:hint="eastAsia" w:ascii="Times New Roman" w:hAnsi="Times New Roman" w:eastAsia="方正仿宋_GB2312"/>
          <w:sz w:val="32"/>
          <w:szCs w:val="32"/>
          <w:highlight w:val="none"/>
          <w:lang w:val="en-US" w:eastAsia="zh-CN"/>
        </w:rPr>
        <w:t>少数民族刊物业务补助</w:t>
      </w:r>
      <w:r>
        <w:rPr>
          <w:rFonts w:hint="eastAsia" w:ascii="Times New Roman" w:hAnsi="Times New Roman" w:eastAsia="方正仿宋_GB2312"/>
          <w:sz w:val="32"/>
          <w:szCs w:val="32"/>
          <w:highlight w:val="none"/>
          <w:lang w:eastAsia="zh-CN"/>
        </w:rPr>
        <w:t>项目</w:t>
      </w:r>
      <w:r>
        <w:rPr>
          <w:rFonts w:ascii="Times New Roman" w:hAnsi="Times New Roman" w:eastAsia="方正仿宋_GB2312"/>
          <w:sz w:val="32"/>
          <w:szCs w:val="32"/>
          <w:highlight w:val="none"/>
          <w:lang w:val="en-US"/>
        </w:rPr>
        <w:t>进行客观评价，最终评分结果</w:t>
      </w:r>
      <w:r>
        <w:rPr>
          <w:rFonts w:hint="eastAsia" w:ascii="Times New Roman" w:hAnsi="Times New Roman" w:eastAsia="方正仿宋_GB2312"/>
          <w:sz w:val="32"/>
          <w:szCs w:val="32"/>
          <w:highlight w:val="none"/>
          <w:lang w:val="en-US" w:eastAsia="zh-CN"/>
        </w:rPr>
        <w:t>97</w:t>
      </w:r>
      <w:r>
        <w:rPr>
          <w:rFonts w:ascii="Times New Roman" w:hAnsi="Times New Roman" w:eastAsia="方正仿宋_GB2312"/>
          <w:color w:val="auto"/>
          <w:sz w:val="32"/>
          <w:szCs w:val="32"/>
          <w:highlight w:val="none"/>
          <w:lang w:val="en-US"/>
        </w:rPr>
        <w:t>分，绩效评级为“</w:t>
      </w:r>
      <w:r>
        <w:rPr>
          <w:rFonts w:hint="eastAsia" w:ascii="Times New Roman" w:hAnsi="Times New Roman" w:eastAsia="方正仿宋_GB2312"/>
          <w:color w:val="auto"/>
          <w:sz w:val="32"/>
          <w:szCs w:val="32"/>
          <w:highlight w:val="none"/>
          <w:lang w:val="en-US" w:eastAsia="zh-CN"/>
        </w:rPr>
        <w:t>优</w:t>
      </w:r>
      <w:r>
        <w:rPr>
          <w:rFonts w:ascii="Times New Roman" w:hAnsi="Times New Roman" w:eastAsia="方正仿宋_GB2312"/>
          <w:sz w:val="32"/>
          <w:szCs w:val="32"/>
          <w:highlight w:val="none"/>
          <w:lang w:val="en-US"/>
        </w:rPr>
        <w:t>”。绩效分值详见表</w:t>
      </w:r>
      <w:r>
        <w:rPr>
          <w:rFonts w:hint="eastAsia" w:ascii="Times New Roman" w:hAnsi="Times New Roman" w:eastAsia="方正仿宋_GB2312"/>
          <w:sz w:val="32"/>
          <w:szCs w:val="32"/>
          <w:highlight w:val="none"/>
          <w:lang w:val="en-US" w:eastAsia="zh-CN"/>
        </w:rPr>
        <w:t>2</w:t>
      </w:r>
      <w:r>
        <w:rPr>
          <w:rFonts w:ascii="Times New Roman" w:hAnsi="Times New Roman" w:eastAsia="方正仿宋_GB2312"/>
          <w:sz w:val="32"/>
          <w:szCs w:val="32"/>
          <w:highlight w:val="none"/>
          <w:lang w:val="en-US"/>
        </w:rPr>
        <w:t>。指标评分结果见</w:t>
      </w:r>
      <w:r>
        <w:rPr>
          <w:rFonts w:hint="eastAsia" w:ascii="Times New Roman" w:hAnsi="Times New Roman" w:eastAsia="方正仿宋_GB2312"/>
          <w:sz w:val="32"/>
          <w:szCs w:val="32"/>
          <w:highlight w:val="none"/>
          <w:lang w:val="en-US" w:eastAsia="zh-CN"/>
        </w:rPr>
        <w:t>下表</w:t>
      </w:r>
      <w:r>
        <w:rPr>
          <w:rFonts w:ascii="Times New Roman" w:hAnsi="Times New Roman" w:eastAsia="方正仿宋_GB2312"/>
          <w:sz w:val="32"/>
          <w:szCs w:val="32"/>
          <w:highlight w:val="none"/>
          <w:lang w:val="en-US"/>
        </w:rPr>
        <w:t>。</w:t>
      </w:r>
    </w:p>
    <w:p>
      <w:pPr>
        <w:keepNext w:val="0"/>
        <w:keepLines w:val="0"/>
        <w:pageBreakBefore w:val="0"/>
        <w:widowControl w:val="0"/>
        <w:kinsoku/>
        <w:wordWrap/>
        <w:overflowPunct/>
        <w:topLinePunct w:val="0"/>
        <w:bidi w:val="0"/>
        <w:adjustRightInd/>
        <w:snapToGrid/>
        <w:spacing w:line="240" w:lineRule="auto"/>
        <w:ind w:left="0" w:leftChars="0" w:right="0" w:firstLine="0" w:firstLineChars="0"/>
        <w:jc w:val="center"/>
        <w:textAlignment w:val="auto"/>
        <w:rPr>
          <w:rFonts w:hint="default" w:ascii="Times New Roman" w:hAnsi="Times New Roman" w:eastAsia="方正仿宋_GB2312"/>
          <w:b/>
          <w:sz w:val="30"/>
          <w:szCs w:val="30"/>
          <w:highlight w:val="none"/>
          <w:lang w:val="en-US" w:eastAsia="zh-CN"/>
        </w:rPr>
      </w:pPr>
      <w:r>
        <w:rPr>
          <w:rFonts w:hint="eastAsia" w:ascii="Times New Roman" w:hAnsi="Times New Roman" w:eastAsia="方正仿宋_GB2312"/>
          <w:b/>
          <w:sz w:val="30"/>
          <w:szCs w:val="30"/>
          <w:highlight w:val="none"/>
          <w:lang w:val="en-US" w:eastAsia="zh-CN"/>
        </w:rPr>
        <w:t>表3：少数民族刊物业务补助</w:t>
      </w:r>
    </w:p>
    <w:bookmarkEnd w:id="120"/>
    <w:bookmarkEnd w:id="121"/>
    <w:bookmarkEnd w:id="122"/>
    <w:bookmarkEnd w:id="123"/>
    <w:bookmarkEnd w:id="124"/>
    <w:bookmarkEnd w:id="125"/>
    <w:bookmarkEnd w:id="126"/>
    <w:bookmarkEnd w:id="127"/>
    <w:tbl>
      <w:tblPr>
        <w:tblStyle w:val="33"/>
        <w:tblW w:w="833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5"/>
        <w:gridCol w:w="510"/>
        <w:gridCol w:w="973"/>
        <w:gridCol w:w="4342"/>
        <w:gridCol w:w="521"/>
        <w:gridCol w:w="525"/>
        <w:gridCol w:w="91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545"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1"/>
                <w:position w:val="7"/>
                <w:sz w:val="24"/>
                <w:szCs w:val="24"/>
                <w14:textFill>
                  <w14:solidFill>
                    <w14:schemeClr w14:val="dk1"/>
                  </w14:solidFill>
                </w14:textFill>
              </w:rPr>
              <w:t>一级</w:t>
            </w:r>
            <w:r>
              <w:rPr>
                <w:rFonts w:ascii="Times New Roman" w:hAnsi="Times New Roman" w:eastAsia="方正仿宋_GB2312"/>
                <w:b/>
                <w:i w:val="0"/>
                <w:color w:val="000000" w:themeColor="dark1"/>
                <w:spacing w:val="-7"/>
                <w:sz w:val="24"/>
                <w:szCs w:val="24"/>
                <w14:textFill>
                  <w14:solidFill>
                    <w14:schemeClr w14:val="dk1"/>
                  </w14:solidFill>
                </w14:textFill>
              </w:rPr>
              <w:t>指标</w:t>
            </w:r>
          </w:p>
        </w:tc>
        <w:tc>
          <w:tcPr>
            <w:tcW w:w="510"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8"/>
                <w:position w:val="7"/>
                <w:sz w:val="24"/>
                <w:szCs w:val="24"/>
                <w14:textFill>
                  <w14:solidFill>
                    <w14:schemeClr w14:val="dk1"/>
                  </w14:solidFill>
                </w14:textFill>
              </w:rPr>
              <w:t>二级</w:t>
            </w:r>
            <w:r>
              <w:rPr>
                <w:rFonts w:ascii="Times New Roman" w:hAnsi="Times New Roman" w:eastAsia="方正仿宋_GB2312"/>
                <w:b/>
                <w:i w:val="0"/>
                <w:color w:val="000000" w:themeColor="dark1"/>
                <w:spacing w:val="-7"/>
                <w:sz w:val="24"/>
                <w:szCs w:val="24"/>
                <w14:textFill>
                  <w14:solidFill>
                    <w14:schemeClr w14:val="dk1"/>
                  </w14:solidFill>
                </w14:textFill>
              </w:rPr>
              <w:t>指标</w:t>
            </w:r>
          </w:p>
        </w:tc>
        <w:tc>
          <w:tcPr>
            <w:tcW w:w="973"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212"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4"/>
                <w:sz w:val="24"/>
                <w:szCs w:val="24"/>
                <w14:textFill>
                  <w14:solidFill>
                    <w14:schemeClr w14:val="dk1"/>
                  </w14:solidFill>
                </w14:textFill>
              </w:rPr>
              <w:t>三级指标</w:t>
            </w:r>
          </w:p>
        </w:tc>
        <w:tc>
          <w:tcPr>
            <w:tcW w:w="4342"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212"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4"/>
                <w:sz w:val="24"/>
                <w:szCs w:val="24"/>
                <w14:textFill>
                  <w14:solidFill>
                    <w14:schemeClr w14:val="dk1"/>
                  </w14:solidFill>
                </w14:textFill>
              </w:rPr>
              <w:t>评价标准</w:t>
            </w:r>
          </w:p>
        </w:tc>
        <w:tc>
          <w:tcPr>
            <w:tcW w:w="52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7"/>
                <w:sz w:val="24"/>
                <w:szCs w:val="24"/>
                <w14:textFill>
                  <w14:solidFill>
                    <w14:schemeClr w14:val="dk1"/>
                  </w14:solidFill>
                </w14:textFill>
              </w:rPr>
              <w:t>分值</w:t>
            </w:r>
          </w:p>
        </w:tc>
        <w:tc>
          <w:tcPr>
            <w:tcW w:w="525"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6"/>
                <w:sz w:val="24"/>
                <w:szCs w:val="24"/>
                <w14:textFill>
                  <w14:solidFill>
                    <w14:schemeClr w14:val="dk1"/>
                  </w14:solidFill>
                </w14:textFill>
              </w:rPr>
              <w:t>得分</w:t>
            </w:r>
          </w:p>
        </w:tc>
        <w:tc>
          <w:tcPr>
            <w:tcW w:w="918"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ascii="Times New Roman" w:hAnsi="Times New Roman" w:eastAsia="方正仿宋_GB2312"/>
                <w:b/>
                <w:i w:val="0"/>
                <w:color w:val="000000" w:themeColor="dark1"/>
                <w:sz w:val="24"/>
                <w:szCs w:val="24"/>
                <w14:textFill>
                  <w14:solidFill>
                    <w14:schemeClr w14:val="dk1"/>
                  </w14:solidFill>
                </w14:textFill>
              </w:rPr>
            </w:pPr>
            <w:r>
              <w:rPr>
                <w:rFonts w:ascii="Times New Roman" w:hAnsi="Times New Roman" w:eastAsia="方正仿宋_GB2312"/>
                <w:b/>
                <w:i w:val="0"/>
                <w:color w:val="000000" w:themeColor="dark1"/>
                <w:spacing w:val="-4"/>
                <w:sz w:val="24"/>
                <w:szCs w:val="24"/>
                <w14:textFill>
                  <w14:solidFill>
                    <w14:schemeClr w14:val="dk1"/>
                  </w14:solidFill>
                </w14:textFill>
              </w:rPr>
              <w:t>偏差原因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6" w:hRule="atLeast"/>
          <w:jc w:val="center"/>
        </w:trPr>
        <w:tc>
          <w:tcPr>
            <w:tcW w:w="545" w:type="dxa"/>
            <w:vMerge w:val="restart"/>
            <w:tcBorders>
              <w:top w:val="single" w:color="999999" w:themeColor="dark1" w:themeTint="66" w:sz="6" w:space="0"/>
              <w:left w:val="single" w:color="000000" w:themeColor="dark1"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9"/>
                <w:sz w:val="24"/>
                <w:szCs w:val="24"/>
              </w:rPr>
              <w:t>决策</w:t>
            </w:r>
          </w:p>
        </w:tc>
        <w:tc>
          <w:tcPr>
            <w:tcW w:w="510"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8"/>
                <w:position w:val="7"/>
                <w:sz w:val="24"/>
                <w:szCs w:val="24"/>
              </w:rPr>
              <w:t>项目</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6"/>
                <w:sz w:val="24"/>
                <w:szCs w:val="24"/>
              </w:rPr>
              <w:t>立项</w:t>
            </w:r>
          </w:p>
        </w:tc>
        <w:tc>
          <w:tcPr>
            <w:tcW w:w="97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4"/>
                <w:sz w:val="24"/>
                <w:szCs w:val="24"/>
              </w:rPr>
              <w:t>立项依据充</w:t>
            </w:r>
            <w:r>
              <w:rPr>
                <w:rFonts w:ascii="Times New Roman" w:hAnsi="Times New Roman" w:eastAsia="方正仿宋_GB2312"/>
                <w:b w:val="0"/>
                <w:i w:val="0"/>
                <w:color w:val="000000"/>
                <w:spacing w:val="-7"/>
                <w:sz w:val="24"/>
                <w:szCs w:val="24"/>
              </w:rPr>
              <w:t>分性</w:t>
            </w:r>
          </w:p>
        </w:tc>
        <w:tc>
          <w:tcPr>
            <w:tcW w:w="434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4"/>
                <w:sz w:val="24"/>
                <w:szCs w:val="24"/>
              </w:rPr>
              <w:t>符合法律法规、经济发展规划和相关政策要求（0.5分）</w:t>
            </w:r>
            <w:r>
              <w:rPr>
                <w:rFonts w:hint="eastAsia" w:ascii="Times New Roman" w:hAnsi="Times New Roman" w:eastAsia="方正仿宋_GB2312"/>
                <w:b w:val="0"/>
                <w:i w:val="0"/>
                <w:color w:val="000000"/>
                <w:spacing w:val="-4"/>
                <w:sz w:val="24"/>
                <w:szCs w:val="24"/>
                <w:lang w:eastAsia="zh-CN"/>
              </w:rPr>
              <w:t>，</w:t>
            </w:r>
            <w:r>
              <w:rPr>
                <w:rFonts w:ascii="Times New Roman" w:hAnsi="Times New Roman" w:eastAsia="方正仿宋_GB2312"/>
                <w:b w:val="0"/>
                <w:i w:val="0"/>
                <w:color w:val="000000"/>
                <w:spacing w:val="-4"/>
                <w:sz w:val="24"/>
                <w:szCs w:val="24"/>
              </w:rPr>
              <w:t>与部门法定职责范围相符（0.5分），属于财政事权支出范围（0.5分），不存在重复的同类项目（0.5分）</w:t>
            </w:r>
          </w:p>
        </w:tc>
        <w:tc>
          <w:tcPr>
            <w:tcW w:w="52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52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91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5"/>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45" w:type="dxa"/>
            <w:vMerge w:val="continue"/>
            <w:tcBorders>
              <w:left w:val="single" w:color="000000" w:themeColor="dark1" w:sz="6" w:space="0"/>
              <w:right w:val="single" w:color="999999" w:themeColor="dark1" w:themeTint="66" w:sz="6"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p>
        </w:tc>
        <w:tc>
          <w:tcPr>
            <w:tcW w:w="510"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p>
        </w:tc>
        <w:tc>
          <w:tcPr>
            <w:tcW w:w="97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4"/>
                <w:sz w:val="24"/>
                <w:szCs w:val="24"/>
              </w:rPr>
              <w:t>立项程序规</w:t>
            </w:r>
            <w:r>
              <w:rPr>
                <w:rFonts w:ascii="Times New Roman" w:hAnsi="Times New Roman" w:eastAsia="方正仿宋_GB2312"/>
                <w:b w:val="0"/>
                <w:i w:val="0"/>
                <w:color w:val="000000"/>
                <w:spacing w:val="-8"/>
                <w:sz w:val="24"/>
                <w:szCs w:val="24"/>
              </w:rPr>
              <w:t>范性</w:t>
            </w:r>
          </w:p>
        </w:tc>
        <w:tc>
          <w:tcPr>
            <w:tcW w:w="434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按照规定的程序申请设立（0.5分），审批文件、材料符合相关要求（0.5分），事前经过必要的可研、专家论证、绩效评估、集体决策（1分）</w:t>
            </w:r>
          </w:p>
        </w:tc>
        <w:tc>
          <w:tcPr>
            <w:tcW w:w="52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52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91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5"/>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45" w:type="dxa"/>
            <w:vMerge w:val="continue"/>
            <w:tcBorders>
              <w:left w:val="single" w:color="000000" w:themeColor="dark1" w:sz="6" w:space="0"/>
              <w:right w:val="single" w:color="999999" w:themeColor="dark1" w:themeTint="66" w:sz="6"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p>
        </w:tc>
        <w:tc>
          <w:tcPr>
            <w:tcW w:w="510" w:type="dxa"/>
            <w:vMerge w:val="restar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8"/>
                <w:position w:val="7"/>
                <w:sz w:val="24"/>
                <w:szCs w:val="24"/>
              </w:rPr>
              <w:t>绩效</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25"/>
                <w:sz w:val="24"/>
                <w:szCs w:val="24"/>
              </w:rPr>
              <w:t>目标</w:t>
            </w:r>
          </w:p>
        </w:tc>
        <w:tc>
          <w:tcPr>
            <w:tcW w:w="97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4"/>
                <w:sz w:val="24"/>
                <w:szCs w:val="24"/>
              </w:rPr>
              <w:t>绩效目标合</w:t>
            </w:r>
            <w:r>
              <w:rPr>
                <w:rFonts w:ascii="Times New Roman" w:hAnsi="Times New Roman" w:eastAsia="方正仿宋_GB2312"/>
                <w:b w:val="0"/>
                <w:i w:val="0"/>
                <w:color w:val="000000"/>
                <w:spacing w:val="-7"/>
                <w:sz w:val="24"/>
                <w:szCs w:val="24"/>
              </w:rPr>
              <w:t>理性</w:t>
            </w:r>
          </w:p>
        </w:tc>
        <w:tc>
          <w:tcPr>
            <w:tcW w:w="434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有绩效目标（0.5分），绩效目标与实际工作内容具有相关性（0.5分），预期产出效益和效果符合正常的业绩水平（0.5分），与预算确定的资金规模相匹配（0.5分）</w:t>
            </w:r>
          </w:p>
        </w:tc>
        <w:tc>
          <w:tcPr>
            <w:tcW w:w="52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52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91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45" w:type="dxa"/>
            <w:vMerge w:val="continue"/>
            <w:tcBorders>
              <w:left w:val="single" w:color="000000" w:themeColor="dark1" w:sz="6" w:space="0"/>
              <w:right w:val="single" w:color="999999" w:themeColor="dark1" w:themeTint="66" w:sz="6"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p>
        </w:tc>
        <w:tc>
          <w:tcPr>
            <w:tcW w:w="510" w:type="dxa"/>
            <w:vMerge w:val="continue"/>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p>
        </w:tc>
        <w:tc>
          <w:tcPr>
            <w:tcW w:w="97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4"/>
                <w:sz w:val="24"/>
                <w:szCs w:val="24"/>
              </w:rPr>
              <w:t>绩效指标明</w:t>
            </w:r>
            <w:r>
              <w:rPr>
                <w:rFonts w:ascii="Times New Roman" w:hAnsi="Times New Roman" w:eastAsia="方正仿宋_GB2312"/>
                <w:b w:val="0"/>
                <w:i w:val="0"/>
                <w:color w:val="000000"/>
                <w:spacing w:val="-6"/>
                <w:sz w:val="24"/>
                <w:szCs w:val="24"/>
              </w:rPr>
              <w:t>确性</w:t>
            </w:r>
          </w:p>
        </w:tc>
        <w:tc>
          <w:tcPr>
            <w:tcW w:w="434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有明确的项目目标任务数或计划数（0.5分），绩效目标细化分解为具体的绩效指标（0.5分），通过清晰、可衡量的指标值予以体现（0.5分），绩效指标值与项目目标任务数或计划数相对应（0.5分）</w:t>
            </w:r>
          </w:p>
        </w:tc>
        <w:tc>
          <w:tcPr>
            <w:tcW w:w="52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52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91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45" w:type="dxa"/>
            <w:vMerge w:val="continue"/>
            <w:tcBorders>
              <w:left w:val="single" w:color="000000" w:themeColor="dark1" w:sz="6" w:space="0"/>
              <w:right w:val="single" w:color="999999" w:themeColor="dark1" w:themeTint="66" w:sz="6"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p>
        </w:tc>
        <w:tc>
          <w:tcPr>
            <w:tcW w:w="510" w:type="dxa"/>
            <w:tcBorders>
              <w:top w:val="single" w:color="999999" w:themeColor="dark1" w:themeTint="66" w:sz="6" w:space="0"/>
              <w:left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10"/>
                <w:position w:val="7"/>
                <w:sz w:val="24"/>
                <w:szCs w:val="24"/>
              </w:rPr>
              <w:t>资金</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7"/>
                <w:sz w:val="24"/>
                <w:szCs w:val="24"/>
              </w:rPr>
              <w:t>投入</w:t>
            </w:r>
          </w:p>
        </w:tc>
        <w:tc>
          <w:tcPr>
            <w:tcW w:w="97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4"/>
                <w:sz w:val="24"/>
                <w:szCs w:val="24"/>
              </w:rPr>
              <w:t>预算编制科</w:t>
            </w:r>
            <w:r>
              <w:rPr>
                <w:rFonts w:ascii="Times New Roman" w:hAnsi="Times New Roman" w:eastAsia="方正仿宋_GB2312"/>
                <w:b w:val="0"/>
                <w:i w:val="0"/>
                <w:color w:val="000000"/>
                <w:spacing w:val="-8"/>
                <w:sz w:val="24"/>
                <w:szCs w:val="24"/>
              </w:rPr>
              <w:t>学性</w:t>
            </w:r>
          </w:p>
        </w:tc>
        <w:tc>
          <w:tcPr>
            <w:tcW w:w="434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预算编制经过科学论证（0.5分），预算内容与项目内容相匹配（0.5分），预算额度测算依据充分、按照标准编制（0.5分），预算确定的项目资金规模与工作任务相匹配（0.5分）</w:t>
            </w:r>
          </w:p>
        </w:tc>
        <w:tc>
          <w:tcPr>
            <w:tcW w:w="52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52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z w:val="24"/>
                <w:szCs w:val="24"/>
              </w:rPr>
              <w:t>2</w:t>
            </w:r>
          </w:p>
        </w:tc>
        <w:tc>
          <w:tcPr>
            <w:tcW w:w="91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z w:val="24"/>
                <w:szCs w:val="24"/>
              </w:rPr>
            </w:pPr>
            <w:r>
              <w:rPr>
                <w:rFonts w:ascii="Times New Roman" w:hAnsi="Times New Roman" w:eastAsia="方正仿宋_GB2312"/>
                <w:b w:val="0"/>
                <w:i w:val="0"/>
                <w:color w:val="000000"/>
                <w:spacing w:val="-5"/>
                <w:position w:val="-3"/>
                <w:sz w:val="24"/>
                <w:szCs w:val="24"/>
              </w:rPr>
              <w:t>——</w:t>
            </w:r>
          </w:p>
        </w:tc>
      </w:tr>
    </w:tbl>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rPr>
      </w:pPr>
    </w:p>
    <w:tbl>
      <w:tblPr>
        <w:tblStyle w:val="33"/>
        <w:tblpPr w:leftFromText="180" w:rightFromText="180" w:vertAnchor="text" w:horzAnchor="page" w:tblpX="1791" w:tblpY="26"/>
        <w:tblOverlap w:val="never"/>
        <w:tblW w:w="83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2"/>
        <w:gridCol w:w="521"/>
        <w:gridCol w:w="1166"/>
        <w:gridCol w:w="4132"/>
        <w:gridCol w:w="543"/>
        <w:gridCol w:w="521"/>
        <w:gridCol w:w="94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trPr>
        <w:tc>
          <w:tcPr>
            <w:tcW w:w="532" w:type="dxa"/>
            <w:tcBorders>
              <w:left w:val="single" w:color="000000" w:sz="6" w:space="0"/>
              <w:bottom w:val="single" w:color="000000" w:sz="2" w:space="0"/>
            </w:tcBorders>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spacing w:val="-6"/>
                <w:sz w:val="24"/>
                <w:szCs w:val="24"/>
              </w:rPr>
            </w:pPr>
            <w:r>
              <w:rPr>
                <w:rFonts w:ascii="Times New Roman" w:hAnsi="Times New Roman" w:eastAsia="方正仿宋_GB2312"/>
                <w:b/>
                <w:i w:val="0"/>
                <w:color w:val="000000" w:themeColor="dark1"/>
                <w:spacing w:val="-1"/>
                <w:position w:val="7"/>
                <w:sz w:val="24"/>
                <w:szCs w:val="24"/>
                <w14:textFill>
                  <w14:solidFill>
                    <w14:schemeClr w14:val="dk1"/>
                  </w14:solidFill>
                </w14:textFill>
              </w:rPr>
              <w:t>一级</w:t>
            </w:r>
            <w:r>
              <w:rPr>
                <w:rFonts w:ascii="Times New Roman" w:hAnsi="Times New Roman" w:eastAsia="方正仿宋_GB2312"/>
                <w:b/>
                <w:i w:val="0"/>
                <w:color w:val="000000" w:themeColor="dark1"/>
                <w:spacing w:val="-7"/>
                <w:sz w:val="24"/>
                <w:szCs w:val="24"/>
                <w14:textFill>
                  <w14:solidFill>
                    <w14:schemeClr w14:val="dk1"/>
                  </w14:solidFill>
                </w14:textFill>
              </w:rPr>
              <w:t>指标</w:t>
            </w:r>
          </w:p>
        </w:tc>
        <w:tc>
          <w:tcPr>
            <w:tcW w:w="521" w:type="dxa"/>
            <w:tcBorders>
              <w:bottom w:val="single" w:color="000000" w:sz="2" w:space="0"/>
            </w:tcBorders>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spacing w:val="-10"/>
                <w:position w:val="7"/>
                <w:sz w:val="24"/>
                <w:szCs w:val="24"/>
              </w:rPr>
            </w:pPr>
            <w:r>
              <w:rPr>
                <w:rFonts w:ascii="Times New Roman" w:hAnsi="Times New Roman" w:eastAsia="方正仿宋_GB2312"/>
                <w:b/>
                <w:i w:val="0"/>
                <w:color w:val="000000" w:themeColor="dark1"/>
                <w:spacing w:val="-8"/>
                <w:position w:val="7"/>
                <w:sz w:val="24"/>
                <w:szCs w:val="24"/>
                <w14:textFill>
                  <w14:solidFill>
                    <w14:schemeClr w14:val="dk1"/>
                  </w14:solidFill>
                </w14:textFill>
              </w:rPr>
              <w:t>二级</w:t>
            </w:r>
            <w:r>
              <w:rPr>
                <w:rFonts w:ascii="Times New Roman" w:hAnsi="Times New Roman" w:eastAsia="方正仿宋_GB2312"/>
                <w:b/>
                <w:i w:val="0"/>
                <w:color w:val="000000" w:themeColor="dark1"/>
                <w:spacing w:val="-7"/>
                <w:sz w:val="24"/>
                <w:szCs w:val="24"/>
                <w14:textFill>
                  <w14:solidFill>
                    <w14:schemeClr w14:val="dk1"/>
                  </w14:solidFill>
                </w14:textFill>
              </w:rPr>
              <w:t>指标</w:t>
            </w:r>
          </w:p>
        </w:tc>
        <w:tc>
          <w:tcPr>
            <w:tcW w:w="1166" w:type="dxa"/>
            <w:vAlign w:val="center"/>
          </w:tcPr>
          <w:p>
            <w:pPr>
              <w:pStyle w:val="32"/>
              <w:keepNext w:val="0"/>
              <w:keepLines w:val="0"/>
              <w:pageBreakBefore w:val="0"/>
              <w:widowControl w:val="0"/>
              <w:kinsoku/>
              <w:wordWrap/>
              <w:overflowPunct/>
              <w:topLinePunct w:val="0"/>
              <w:bidi w:val="0"/>
              <w:adjustRightInd/>
              <w:snapToGrid w:val="0"/>
              <w:spacing w:before="212" w:line="240" w:lineRule="auto"/>
              <w:ind w:left="0" w:leftChars="0" w:right="0" w:rightChars="0" w:firstLine="0" w:firstLineChars="0"/>
              <w:jc w:val="center"/>
              <w:textAlignment w:val="auto"/>
              <w:rPr>
                <w:rFonts w:ascii="Times New Roman" w:hAnsi="Times New Roman" w:eastAsia="方正仿宋_GB2312"/>
                <w:spacing w:val="-5"/>
                <w:sz w:val="24"/>
                <w:szCs w:val="24"/>
              </w:rPr>
            </w:pPr>
            <w:r>
              <w:rPr>
                <w:rFonts w:ascii="Times New Roman" w:hAnsi="Times New Roman" w:eastAsia="方正仿宋_GB2312"/>
                <w:b/>
                <w:i w:val="0"/>
                <w:color w:val="000000" w:themeColor="dark1"/>
                <w:spacing w:val="-4"/>
                <w:sz w:val="24"/>
                <w:szCs w:val="24"/>
                <w14:textFill>
                  <w14:solidFill>
                    <w14:schemeClr w14:val="dk1"/>
                  </w14:solidFill>
                </w14:textFill>
              </w:rPr>
              <w:t>三级指标</w:t>
            </w:r>
          </w:p>
        </w:tc>
        <w:tc>
          <w:tcPr>
            <w:tcW w:w="4132" w:type="dxa"/>
            <w:vAlign w:val="center"/>
          </w:tcPr>
          <w:p>
            <w:pPr>
              <w:pStyle w:val="32"/>
              <w:keepNext w:val="0"/>
              <w:keepLines w:val="0"/>
              <w:pageBreakBefore w:val="0"/>
              <w:widowControl w:val="0"/>
              <w:kinsoku/>
              <w:wordWrap/>
              <w:overflowPunct/>
              <w:topLinePunct w:val="0"/>
              <w:bidi w:val="0"/>
              <w:adjustRightInd/>
              <w:snapToGrid w:val="0"/>
              <w:spacing w:before="212" w:line="240" w:lineRule="auto"/>
              <w:ind w:left="0" w:leftChars="0" w:right="0" w:rightChars="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b/>
                <w:i w:val="0"/>
                <w:color w:val="000000" w:themeColor="dark1"/>
                <w:spacing w:val="-4"/>
                <w:sz w:val="24"/>
                <w:szCs w:val="24"/>
                <w14:textFill>
                  <w14:solidFill>
                    <w14:schemeClr w14:val="dk1"/>
                  </w14:solidFill>
                </w14:textFill>
              </w:rPr>
              <w:t>评价标准</w:t>
            </w:r>
          </w:p>
        </w:tc>
        <w:tc>
          <w:tcPr>
            <w:tcW w:w="543" w:type="dxa"/>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hint="eastAsia" w:ascii="Times New Roman" w:hAnsi="Times New Roman" w:eastAsia="方正仿宋_GB2312"/>
                <w:sz w:val="24"/>
                <w:szCs w:val="24"/>
                <w:lang w:val="en-US" w:eastAsia="zh-CN"/>
              </w:rPr>
            </w:pPr>
            <w:r>
              <w:rPr>
                <w:rFonts w:ascii="Times New Roman" w:hAnsi="Times New Roman" w:eastAsia="方正仿宋_GB2312"/>
                <w:b/>
                <w:i w:val="0"/>
                <w:color w:val="000000" w:themeColor="dark1"/>
                <w:spacing w:val="-7"/>
                <w:sz w:val="24"/>
                <w:szCs w:val="24"/>
                <w14:textFill>
                  <w14:solidFill>
                    <w14:schemeClr w14:val="dk1"/>
                  </w14:solidFill>
                </w14:textFill>
              </w:rPr>
              <w:t>分值</w:t>
            </w:r>
          </w:p>
        </w:tc>
        <w:tc>
          <w:tcPr>
            <w:tcW w:w="521" w:type="dxa"/>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hint="eastAsia" w:ascii="Times New Roman" w:hAnsi="Times New Roman" w:eastAsia="方正仿宋_GB2312"/>
                <w:sz w:val="24"/>
                <w:szCs w:val="24"/>
                <w:lang w:val="en-US" w:eastAsia="zh-CN"/>
              </w:rPr>
            </w:pPr>
            <w:r>
              <w:rPr>
                <w:rFonts w:ascii="Times New Roman" w:hAnsi="Times New Roman" w:eastAsia="方正仿宋_GB2312"/>
                <w:b/>
                <w:i w:val="0"/>
                <w:color w:val="000000" w:themeColor="dark1"/>
                <w:spacing w:val="-6"/>
                <w:sz w:val="24"/>
                <w:szCs w:val="24"/>
                <w14:textFill>
                  <w14:solidFill>
                    <w14:schemeClr w14:val="dk1"/>
                  </w14:solidFill>
                </w14:textFill>
              </w:rPr>
              <w:t>得分</w:t>
            </w:r>
          </w:p>
        </w:tc>
        <w:tc>
          <w:tcPr>
            <w:tcW w:w="940" w:type="dxa"/>
            <w:tcBorders>
              <w:right w:val="single" w:color="000000" w:sz="6" w:space="0"/>
            </w:tcBorders>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ascii="Times New Roman" w:hAnsi="Times New Roman" w:eastAsia="方正仿宋_GB2312"/>
                <w:spacing w:val="-5"/>
                <w:position w:val="-3"/>
                <w:sz w:val="24"/>
                <w:szCs w:val="24"/>
              </w:rPr>
            </w:pPr>
            <w:r>
              <w:rPr>
                <w:rFonts w:ascii="Times New Roman" w:hAnsi="Times New Roman" w:eastAsia="方正仿宋_GB2312"/>
                <w:b/>
                <w:i w:val="0"/>
                <w:color w:val="000000" w:themeColor="dark1"/>
                <w:spacing w:val="-4"/>
                <w:sz w:val="24"/>
                <w:szCs w:val="24"/>
                <w14:textFill>
                  <w14:solidFill>
                    <w14:schemeClr w14:val="dk1"/>
                  </w14:solidFill>
                </w14:textFill>
              </w:rPr>
              <w:t>偏差原因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trPr>
        <w:tc>
          <w:tcPr>
            <w:tcW w:w="532" w:type="dxa"/>
            <w:tcBorders>
              <w:left w:val="single" w:color="000000" w:sz="6" w:space="0"/>
              <w:bottom w:val="single" w:color="000000" w:sz="2" w:space="0"/>
            </w:tcBorders>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b/>
                <w:i w:val="0"/>
                <w:color w:val="000000" w:themeColor="dark1"/>
                <w:spacing w:val="-1"/>
                <w:position w:val="7"/>
                <w:sz w:val="24"/>
                <w:szCs w:val="24"/>
                <w14:textFill>
                  <w14:solidFill>
                    <w14:schemeClr w14:val="dk1"/>
                  </w14:solidFill>
                </w14:textFill>
              </w:rPr>
            </w:pPr>
          </w:p>
        </w:tc>
        <w:tc>
          <w:tcPr>
            <w:tcW w:w="521" w:type="dxa"/>
            <w:tcBorders>
              <w:bottom w:val="single" w:color="000000" w:sz="2" w:space="0"/>
            </w:tcBorders>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b/>
                <w:i w:val="0"/>
                <w:color w:val="000000" w:themeColor="dark1"/>
                <w:spacing w:val="-8"/>
                <w:position w:val="7"/>
                <w:sz w:val="24"/>
                <w:szCs w:val="24"/>
                <w14:textFill>
                  <w14:solidFill>
                    <w14:schemeClr w14:val="dk1"/>
                  </w14:solidFill>
                </w14:textFill>
              </w:rPr>
            </w:pPr>
          </w:p>
        </w:tc>
        <w:tc>
          <w:tcPr>
            <w:tcW w:w="1166" w:type="dxa"/>
            <w:shd w:val="clear" w:color="auto" w:fill="auto"/>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cs="宋体"/>
                <w:b w:val="0"/>
                <w:i w:val="0"/>
                <w:color w:val="000000"/>
                <w:spacing w:val="-4"/>
                <w:kern w:val="2"/>
                <w:sz w:val="24"/>
                <w:szCs w:val="24"/>
                <w:lang w:val="en-US" w:eastAsia="en-US" w:bidi="ar-SA"/>
              </w:rPr>
            </w:pPr>
            <w:r>
              <w:rPr>
                <w:rFonts w:ascii="Times New Roman" w:hAnsi="Times New Roman" w:eastAsia="方正仿宋_GB2312"/>
                <w:b w:val="0"/>
                <w:i w:val="0"/>
                <w:color w:val="000000"/>
                <w:spacing w:val="-4"/>
                <w:sz w:val="24"/>
                <w:szCs w:val="24"/>
              </w:rPr>
              <w:t>资金分配合理性</w:t>
            </w:r>
          </w:p>
        </w:tc>
        <w:tc>
          <w:tcPr>
            <w:tcW w:w="4132" w:type="dxa"/>
            <w:shd w:val="clear" w:color="auto" w:fill="auto"/>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cs="宋体"/>
                <w:b w:val="0"/>
                <w:i w:val="0"/>
                <w:color w:val="000000"/>
                <w:spacing w:val="-4"/>
                <w:kern w:val="2"/>
                <w:sz w:val="24"/>
                <w:szCs w:val="24"/>
                <w:lang w:val="en-US" w:eastAsia="en-US" w:bidi="ar-SA"/>
              </w:rPr>
            </w:pPr>
            <w:r>
              <w:rPr>
                <w:rFonts w:ascii="Times New Roman" w:hAnsi="Times New Roman" w:eastAsia="方正仿宋_GB2312"/>
                <w:b w:val="0"/>
                <w:i w:val="0"/>
                <w:color w:val="000000"/>
                <w:spacing w:val="-4"/>
                <w:sz w:val="24"/>
                <w:szCs w:val="24"/>
              </w:rPr>
              <w:t>预算资金分配依据充分、明确（1分），资金分配额度合理、与项目单位或地方实际相适应（1分）</w:t>
            </w:r>
          </w:p>
        </w:tc>
        <w:tc>
          <w:tcPr>
            <w:tcW w:w="543" w:type="dxa"/>
            <w:shd w:val="clear" w:color="auto" w:fill="auto"/>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方正仿宋_GB2312" w:cs="宋体"/>
                <w:kern w:val="2"/>
                <w:sz w:val="24"/>
                <w:szCs w:val="24"/>
                <w:lang w:val="en-US" w:eastAsia="zh-CN" w:bidi="ar-SA"/>
              </w:rPr>
            </w:pPr>
            <w:r>
              <w:rPr>
                <w:rFonts w:hint="eastAsia" w:ascii="Times New Roman" w:hAnsi="Times New Roman" w:eastAsia="方正仿宋_GB2312"/>
                <w:sz w:val="24"/>
                <w:szCs w:val="24"/>
                <w:lang w:val="en-US" w:eastAsia="zh-CN"/>
              </w:rPr>
              <w:t>2</w:t>
            </w:r>
          </w:p>
        </w:tc>
        <w:tc>
          <w:tcPr>
            <w:tcW w:w="521" w:type="dxa"/>
            <w:shd w:val="clear" w:color="auto" w:fill="auto"/>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ascii="Times New Roman" w:hAnsi="Times New Roman" w:eastAsia="方正仿宋_GB2312" w:cs="宋体"/>
                <w:kern w:val="2"/>
                <w:sz w:val="24"/>
                <w:szCs w:val="24"/>
                <w:lang w:val="en-US" w:eastAsia="en-US" w:bidi="ar-SA"/>
              </w:rPr>
            </w:pPr>
            <w:r>
              <w:rPr>
                <w:rFonts w:ascii="Times New Roman" w:hAnsi="Times New Roman" w:eastAsia="方正仿宋_GB2312"/>
                <w:sz w:val="24"/>
                <w:szCs w:val="24"/>
              </w:rPr>
              <w:t>2</w:t>
            </w:r>
          </w:p>
        </w:tc>
        <w:tc>
          <w:tcPr>
            <w:tcW w:w="940" w:type="dxa"/>
            <w:tcBorders>
              <w:right w:val="single" w:color="000000" w:sz="6" w:space="0"/>
            </w:tcBorders>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ascii="Times New Roman" w:hAnsi="Times New Roman" w:eastAsia="方正仿宋_GB2312"/>
                <w:b/>
                <w:i w:val="0"/>
                <w:color w:val="000000" w:themeColor="dark1"/>
                <w:spacing w:val="-4"/>
                <w:sz w:val="24"/>
                <w:szCs w:val="24"/>
                <w14:textFill>
                  <w14:solidFill>
                    <w14:schemeClr w14:val="dk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6" w:hRule="atLeast"/>
        </w:trPr>
        <w:tc>
          <w:tcPr>
            <w:tcW w:w="532" w:type="dxa"/>
            <w:vMerge w:val="restart"/>
            <w:tcBorders>
              <w:top w:val="single" w:color="000000" w:sz="2" w:space="0"/>
              <w:left w:val="single" w:color="000000" w:sz="6"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sz w:val="24"/>
                <w:szCs w:val="24"/>
              </w:rPr>
              <w:t>过程</w:t>
            </w:r>
          </w:p>
        </w:tc>
        <w:tc>
          <w:tcPr>
            <w:tcW w:w="521" w:type="dxa"/>
            <w:vMerge w:val="restart"/>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10"/>
                <w:position w:val="7"/>
                <w:sz w:val="24"/>
                <w:szCs w:val="24"/>
              </w:rPr>
            </w:pPr>
            <w:r>
              <w:rPr>
                <w:rFonts w:ascii="Times New Roman" w:hAnsi="Times New Roman" w:eastAsia="方正仿宋_GB2312"/>
                <w:spacing w:val="-10"/>
                <w:position w:val="7"/>
                <w:sz w:val="24"/>
                <w:szCs w:val="24"/>
              </w:rPr>
              <w:t>资金</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0"/>
                <w:position w:val="7"/>
                <w:sz w:val="24"/>
                <w:szCs w:val="24"/>
              </w:rPr>
              <w:t>管理</w:t>
            </w:r>
          </w:p>
        </w:tc>
        <w:tc>
          <w:tcPr>
            <w:tcW w:w="1166" w:type="dxa"/>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资金到</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位率</w:t>
            </w:r>
          </w:p>
        </w:tc>
        <w:tc>
          <w:tcPr>
            <w:tcW w:w="4132"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spacing w:val="-4"/>
                <w:sz w:val="24"/>
                <w:szCs w:val="24"/>
              </w:rPr>
              <w:t>根据项目实际到位资金占计划的比重计算得分（</w:t>
            </w:r>
            <w:r>
              <w:rPr>
                <w:rFonts w:hint="eastAsia" w:ascii="Times New Roman" w:hAnsi="Times New Roman" w:eastAsia="方正仿宋_GB2312"/>
                <w:spacing w:val="-4"/>
                <w:sz w:val="24"/>
                <w:szCs w:val="24"/>
                <w:lang w:val="en-US" w:eastAsia="zh-CN"/>
              </w:rPr>
              <w:t>4</w:t>
            </w:r>
            <w:r>
              <w:rPr>
                <w:rFonts w:ascii="Times New Roman" w:hAnsi="Times New Roman" w:eastAsia="方正仿宋_GB2312"/>
                <w:spacing w:val="-4"/>
                <w:sz w:val="24"/>
                <w:szCs w:val="24"/>
              </w:rPr>
              <w:t>分）</w:t>
            </w:r>
          </w:p>
        </w:tc>
        <w:tc>
          <w:tcPr>
            <w:tcW w:w="543"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eastAsia="zh-CN"/>
              </w:rPr>
            </w:pPr>
            <w:r>
              <w:rPr>
                <w:rFonts w:hint="eastAsia" w:ascii="Times New Roman" w:hAnsi="Times New Roman" w:eastAsia="方正仿宋_GB2312"/>
                <w:sz w:val="24"/>
                <w:szCs w:val="24"/>
                <w:lang w:val="en-US" w:eastAsia="zh-CN"/>
              </w:rPr>
              <w:t>4</w:t>
            </w:r>
          </w:p>
        </w:tc>
        <w:tc>
          <w:tcPr>
            <w:tcW w:w="521"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4</w:t>
            </w:r>
          </w:p>
        </w:tc>
        <w:tc>
          <w:tcPr>
            <w:tcW w:w="940" w:type="dxa"/>
            <w:tcBorders>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pacing w:val="-5"/>
                <w:position w:val="-3"/>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z w:val="24"/>
                <w:szCs w:val="24"/>
              </w:rPr>
            </w:pPr>
            <w:r>
              <w:rPr>
                <w:rFonts w:ascii="Times New Roman" w:hAnsi="Times New Roman" w:eastAsia="方正仿宋_GB2312"/>
                <w:spacing w:val="-5"/>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532" w:type="dxa"/>
            <w:vMerge w:val="continue"/>
            <w:tcBorders>
              <w:top w:val="single" w:color="000000" w:sz="2" w:space="0"/>
              <w:left w:val="single" w:color="000000" w:sz="6"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521" w:type="dxa"/>
            <w:vMerge w:val="continue"/>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166" w:type="dxa"/>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预算执</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行率</w:t>
            </w:r>
          </w:p>
        </w:tc>
        <w:tc>
          <w:tcPr>
            <w:tcW w:w="4132"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spacing w:val="-4"/>
                <w:sz w:val="24"/>
                <w:szCs w:val="24"/>
              </w:rPr>
              <w:t>根据项目预算执行率的比重计算得分（</w:t>
            </w:r>
            <w:r>
              <w:rPr>
                <w:rFonts w:hint="eastAsia" w:ascii="Times New Roman" w:hAnsi="Times New Roman" w:eastAsia="方正仿宋_GB2312"/>
                <w:spacing w:val="-4"/>
                <w:sz w:val="24"/>
                <w:szCs w:val="24"/>
                <w:lang w:val="en-US" w:eastAsia="zh-CN"/>
              </w:rPr>
              <w:t>4</w:t>
            </w:r>
            <w:r>
              <w:rPr>
                <w:rFonts w:ascii="Times New Roman" w:hAnsi="Times New Roman" w:eastAsia="方正仿宋_GB2312"/>
                <w:spacing w:val="-4"/>
                <w:sz w:val="24"/>
                <w:szCs w:val="24"/>
              </w:rPr>
              <w:t>分）</w:t>
            </w:r>
          </w:p>
        </w:tc>
        <w:tc>
          <w:tcPr>
            <w:tcW w:w="543"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4</w:t>
            </w:r>
          </w:p>
        </w:tc>
        <w:tc>
          <w:tcPr>
            <w:tcW w:w="521"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4</w:t>
            </w:r>
          </w:p>
        </w:tc>
        <w:tc>
          <w:tcPr>
            <w:tcW w:w="940" w:type="dxa"/>
            <w:tcBorders>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pacing w:val="-5"/>
                <w:position w:val="-3"/>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z w:val="24"/>
                <w:szCs w:val="24"/>
              </w:rPr>
            </w:pPr>
            <w:r>
              <w:rPr>
                <w:rFonts w:ascii="Times New Roman" w:hAnsi="Times New Roman" w:eastAsia="方正仿宋_GB2312"/>
                <w:spacing w:val="-5"/>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532" w:type="dxa"/>
            <w:vMerge w:val="continue"/>
            <w:tcBorders>
              <w:top w:val="single" w:color="000000" w:sz="2" w:space="0"/>
              <w:left w:val="single" w:color="000000" w:sz="6"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521" w:type="dxa"/>
            <w:vMerge w:val="continue"/>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166" w:type="dxa"/>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资金使用</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合规性</w:t>
            </w:r>
          </w:p>
        </w:tc>
        <w:tc>
          <w:tcPr>
            <w:tcW w:w="4132"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spacing w:val="-4"/>
                <w:sz w:val="24"/>
                <w:szCs w:val="24"/>
              </w:rPr>
              <w:t>符合国家财经法规和财务管理制度以及有关专项资金管理办法的规定（1分），资金的拨付有完整的审批程序和手续（1分），符合项目预算批复和合同规定的用途（1分），不存在截留、挤占、挪用、虚列支出等情况（1分）</w:t>
            </w:r>
          </w:p>
        </w:tc>
        <w:tc>
          <w:tcPr>
            <w:tcW w:w="543" w:type="dxa"/>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4</w:t>
            </w:r>
          </w:p>
        </w:tc>
        <w:tc>
          <w:tcPr>
            <w:tcW w:w="521" w:type="dxa"/>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4</w:t>
            </w:r>
          </w:p>
        </w:tc>
        <w:tc>
          <w:tcPr>
            <w:tcW w:w="940" w:type="dxa"/>
            <w:tcBorders>
              <w:right w:val="single" w:color="000000" w:sz="6"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5"/>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532" w:type="dxa"/>
            <w:vMerge w:val="continue"/>
            <w:tcBorders>
              <w:top w:val="single" w:color="000000" w:sz="2" w:space="0"/>
              <w:left w:val="single" w:color="000000" w:sz="6"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521" w:type="dxa"/>
            <w:vMerge w:val="restart"/>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0"/>
                <w:position w:val="7"/>
                <w:sz w:val="24"/>
                <w:szCs w:val="24"/>
              </w:rPr>
              <w:t>组织实施</w:t>
            </w:r>
          </w:p>
        </w:tc>
        <w:tc>
          <w:tcPr>
            <w:tcW w:w="1166" w:type="dxa"/>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管理制度</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ascii="Times New Roman" w:hAnsi="Times New Roman" w:eastAsia="方正仿宋_GB2312"/>
                <w:b w:val="0"/>
                <w:i w:val="0"/>
                <w:color w:val="000000"/>
                <w:spacing w:val="-4"/>
                <w:sz w:val="24"/>
                <w:szCs w:val="24"/>
              </w:rPr>
              <w:t>健全性</w:t>
            </w:r>
          </w:p>
        </w:tc>
        <w:tc>
          <w:tcPr>
            <w:tcW w:w="4132"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spacing w:val="-4"/>
                <w:sz w:val="24"/>
                <w:szCs w:val="24"/>
              </w:rPr>
              <w:t>已制定或具有相应的财务管理制度（1分），财务管理制度合法、合规、完整（1分），已制定或具有相应的业务管理制度（1分），业务管理制度合法、合规、完整（1分）</w:t>
            </w:r>
          </w:p>
        </w:tc>
        <w:tc>
          <w:tcPr>
            <w:tcW w:w="543" w:type="dxa"/>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4</w:t>
            </w:r>
          </w:p>
        </w:tc>
        <w:tc>
          <w:tcPr>
            <w:tcW w:w="521" w:type="dxa"/>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2</w:t>
            </w:r>
          </w:p>
        </w:tc>
        <w:tc>
          <w:tcPr>
            <w:tcW w:w="940" w:type="dxa"/>
            <w:tcBorders>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cs="宋体"/>
                <w:b w:val="0"/>
                <w:i w:val="0"/>
                <w:color w:val="000000"/>
                <w:spacing w:val="-4"/>
                <w:sz w:val="24"/>
                <w:szCs w:val="24"/>
                <w:lang w:val="en-US" w:eastAsia="en-US"/>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cs="宋体"/>
                <w:b w:val="0"/>
                <w:i w:val="0"/>
                <w:color w:val="000000"/>
                <w:spacing w:val="-4"/>
                <w:sz w:val="24"/>
                <w:szCs w:val="24"/>
                <w:lang w:val="en-US" w:eastAsia="en-US"/>
              </w:rPr>
              <w:t>财务及业务管理制度有待进</w:t>
            </w:r>
            <w:r>
              <w:rPr>
                <w:rFonts w:ascii="Times New Roman" w:hAnsi="Times New Roman" w:eastAsia="方正仿宋_GB2312" w:cs="宋体"/>
                <w:b w:val="0"/>
                <w:i w:val="0"/>
                <w:color w:val="000000"/>
                <w:spacing w:val="-4"/>
                <w:sz w:val="24"/>
                <w:szCs w:val="24"/>
              </w:rPr>
              <w:t>一步完善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532" w:type="dxa"/>
            <w:vMerge w:val="continue"/>
            <w:tcBorders>
              <w:top w:val="single" w:color="000000" w:sz="2" w:space="0"/>
              <w:left w:val="single" w:color="000000" w:sz="6"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521" w:type="dxa"/>
            <w:vMerge w:val="continue"/>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166" w:type="dxa"/>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lang w:val="en-US" w:eastAsia="en-US"/>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lang w:val="en-US" w:eastAsia="zh-CN"/>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lang w:val="en-US" w:eastAsia="zh-CN"/>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lang w:val="en-US" w:eastAsia="zh-CN"/>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lang w:val="en-US" w:eastAsia="en-US"/>
              </w:rPr>
            </w:pPr>
            <w:r>
              <w:rPr>
                <w:rFonts w:hint="eastAsia" w:ascii="Times New Roman" w:hAnsi="Times New Roman" w:eastAsia="方正仿宋_GB2312"/>
                <w:b w:val="0"/>
                <w:i w:val="0"/>
                <w:color w:val="000000"/>
                <w:spacing w:val="-4"/>
                <w:sz w:val="24"/>
                <w:szCs w:val="24"/>
                <w:lang w:val="en-US" w:eastAsia="zh-CN"/>
              </w:rPr>
              <w:t>制</w:t>
            </w:r>
            <w:r>
              <w:rPr>
                <w:rFonts w:hint="eastAsia" w:ascii="Times New Roman" w:hAnsi="Times New Roman" w:eastAsia="方正仿宋_GB2312"/>
                <w:b w:val="0"/>
                <w:i w:val="0"/>
                <w:color w:val="000000"/>
                <w:spacing w:val="-4"/>
                <w:sz w:val="24"/>
                <w:szCs w:val="24"/>
                <w:lang w:val="en-US" w:eastAsia="en-US"/>
              </w:rPr>
              <w:t>度执行</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lang w:val="en-US" w:eastAsia="en-US"/>
              </w:rPr>
            </w:pPr>
            <w:r>
              <w:rPr>
                <w:rFonts w:hint="eastAsia" w:ascii="Times New Roman" w:hAnsi="Times New Roman" w:eastAsia="方正仿宋_GB2312"/>
                <w:b w:val="0"/>
                <w:i w:val="0"/>
                <w:color w:val="000000"/>
                <w:spacing w:val="-4"/>
                <w:sz w:val="24"/>
                <w:szCs w:val="24"/>
                <w:lang w:val="en-US" w:eastAsia="en-US"/>
              </w:rPr>
              <w:t>有效</w:t>
            </w:r>
            <w:r>
              <w:rPr>
                <w:rFonts w:ascii="Times New Roman" w:hAnsi="Times New Roman" w:eastAsia="方正仿宋_GB2312"/>
                <w:b w:val="0"/>
                <w:i w:val="0"/>
                <w:color w:val="000000"/>
                <w:spacing w:val="-4"/>
                <w:sz w:val="24"/>
                <w:szCs w:val="24"/>
                <w:lang w:val="en-US" w:eastAsia="en-US"/>
              </w:rPr>
              <w:t>性</w:t>
            </w:r>
          </w:p>
        </w:tc>
        <w:tc>
          <w:tcPr>
            <w:tcW w:w="4132" w:type="dxa"/>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cs="宋体"/>
                <w:snapToGrid w:val="0"/>
                <w:color w:val="000000"/>
                <w:spacing w:val="-6"/>
                <w:kern w:val="0"/>
                <w:sz w:val="24"/>
                <w:szCs w:val="24"/>
                <w:lang w:val="en-US" w:eastAsia="en-US" w:bidi="ar-SA"/>
              </w:rPr>
            </w:pPr>
            <w:r>
              <w:rPr>
                <w:rFonts w:ascii="Times New Roman" w:hAnsi="Times New Roman" w:eastAsia="方正仿宋_GB2312" w:cs="宋体"/>
                <w:snapToGrid w:val="0"/>
                <w:color w:val="000000"/>
                <w:spacing w:val="-6"/>
                <w:kern w:val="0"/>
                <w:sz w:val="24"/>
                <w:szCs w:val="24"/>
                <w:lang w:val="en-US" w:eastAsia="en-US" w:bidi="ar-SA"/>
              </w:rPr>
              <w:t>遵守相关法律法规和相关管理规定（1分），项目调整及支出调整手续完备（1分），项目合同书、验收报告、技术鉴定等资料齐全并及时归档（1分），项目实施的人员条件、场地设备、信息支撑等落实到位（1分）</w:t>
            </w:r>
          </w:p>
        </w:tc>
        <w:tc>
          <w:tcPr>
            <w:tcW w:w="543" w:type="dxa"/>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4</w:t>
            </w:r>
          </w:p>
        </w:tc>
        <w:tc>
          <w:tcPr>
            <w:tcW w:w="521" w:type="dxa"/>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4</w:t>
            </w:r>
          </w:p>
        </w:tc>
        <w:tc>
          <w:tcPr>
            <w:tcW w:w="940" w:type="dxa"/>
            <w:tcBorders>
              <w:right w:val="single" w:color="000000" w:sz="6"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bl>
    <w:p>
      <w:pPr>
        <w:keepNext w:val="0"/>
        <w:keepLines w:val="0"/>
        <w:pageBreakBefore w:val="0"/>
        <w:widowControl w:val="0"/>
        <w:kinsoku/>
        <w:wordWrap/>
        <w:overflowPunct/>
        <w:topLinePunct w:val="0"/>
        <w:bidi w:val="0"/>
        <w:adjustRightInd/>
        <w:spacing w:line="240" w:lineRule="auto"/>
        <w:ind w:firstLine="0" w:firstLineChars="0"/>
        <w:textAlignment w:val="auto"/>
        <w:rPr>
          <w:rFonts w:ascii="Times New Roman" w:hAnsi="Times New Roman"/>
        </w:rPr>
      </w:pPr>
    </w:p>
    <w:p>
      <w:pPr>
        <w:keepNext w:val="0"/>
        <w:keepLines w:val="0"/>
        <w:pageBreakBefore w:val="0"/>
        <w:widowControl w:val="0"/>
        <w:kinsoku/>
        <w:wordWrap/>
        <w:overflowPunct/>
        <w:topLinePunct w:val="0"/>
        <w:bidi w:val="0"/>
        <w:adjustRightInd/>
        <w:spacing w:line="240" w:lineRule="auto"/>
        <w:ind w:firstLine="0" w:firstLineChars="0"/>
        <w:textAlignment w:val="auto"/>
        <w:rPr>
          <w:rFonts w:ascii="Times New Roman" w:hAnsi="Times New Roman"/>
        </w:rPr>
      </w:pPr>
    </w:p>
    <w:p>
      <w:pPr>
        <w:keepNext w:val="0"/>
        <w:keepLines w:val="0"/>
        <w:pageBreakBefore w:val="0"/>
        <w:widowControl w:val="0"/>
        <w:kinsoku/>
        <w:wordWrap/>
        <w:overflowPunct/>
        <w:topLinePunct w:val="0"/>
        <w:bidi w:val="0"/>
        <w:adjustRightInd/>
        <w:spacing w:line="240" w:lineRule="auto"/>
        <w:ind w:firstLine="0" w:firstLineChars="0"/>
        <w:textAlignment w:val="auto"/>
        <w:rPr>
          <w:rFonts w:ascii="Times New Roman" w:hAnsi="Times New Roman"/>
        </w:rPr>
      </w:pPr>
    </w:p>
    <w:tbl>
      <w:tblPr>
        <w:tblStyle w:val="33"/>
        <w:tblpPr w:leftFromText="180" w:rightFromText="180" w:vertAnchor="text" w:horzAnchor="page" w:tblpX="1791" w:tblpY="1"/>
        <w:tblOverlap w:val="never"/>
        <w:tblW w:w="86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476"/>
        <w:gridCol w:w="1596"/>
        <w:gridCol w:w="3645"/>
        <w:gridCol w:w="494"/>
        <w:gridCol w:w="521"/>
        <w:gridCol w:w="12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683" w:type="dxa"/>
            <w:tcBorders>
              <w:left w:val="single" w:color="000000" w:sz="6" w:space="0"/>
              <w:bottom w:val="single" w:color="auto" w:sz="4"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cs="宋体"/>
                <w:spacing w:val="-6"/>
                <w:sz w:val="24"/>
                <w:szCs w:val="24"/>
                <w:lang w:val="en-US" w:eastAsia="en-US" w:bidi="ar-SA"/>
              </w:rPr>
            </w:pPr>
            <w:r>
              <w:rPr>
                <w:rFonts w:ascii="Times New Roman" w:hAnsi="Times New Roman" w:eastAsia="方正仿宋_GB2312"/>
                <w:b/>
                <w:i w:val="0"/>
                <w:color w:val="000000" w:themeColor="dark1"/>
                <w:spacing w:val="-1"/>
                <w:position w:val="7"/>
                <w:sz w:val="24"/>
                <w:szCs w:val="24"/>
                <w14:textFill>
                  <w14:solidFill>
                    <w14:schemeClr w14:val="dk1"/>
                  </w14:solidFill>
                </w14:textFill>
              </w:rPr>
              <w:t>一级</w:t>
            </w:r>
            <w:r>
              <w:rPr>
                <w:rFonts w:ascii="Times New Roman" w:hAnsi="Times New Roman" w:eastAsia="方正仿宋_GB2312"/>
                <w:b/>
                <w:i w:val="0"/>
                <w:color w:val="000000" w:themeColor="dark1"/>
                <w:spacing w:val="-7"/>
                <w:sz w:val="24"/>
                <w:szCs w:val="24"/>
                <w14:textFill>
                  <w14:solidFill>
                    <w14:schemeClr w14:val="dk1"/>
                  </w14:solidFill>
                </w14:textFill>
              </w:rPr>
              <w:t>指标</w:t>
            </w:r>
          </w:p>
        </w:tc>
        <w:tc>
          <w:tcPr>
            <w:tcW w:w="476" w:type="dxa"/>
            <w:tcBorders>
              <w:bottom w:val="single" w:color="auto" w:sz="4"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56" w:line="240" w:lineRule="auto"/>
              <w:ind w:left="0" w:leftChars="0" w:right="0" w:rightChars="0" w:firstLine="0" w:firstLineChars="0"/>
              <w:jc w:val="center"/>
              <w:textAlignment w:val="auto"/>
              <w:rPr>
                <w:rFonts w:ascii="Times New Roman" w:hAnsi="Times New Roman" w:eastAsia="方正仿宋_GB2312" w:cs="宋体"/>
                <w:spacing w:val="-10"/>
                <w:position w:val="7"/>
                <w:sz w:val="24"/>
                <w:szCs w:val="24"/>
                <w:lang w:val="en-US" w:eastAsia="en-US" w:bidi="ar-SA"/>
              </w:rPr>
            </w:pPr>
            <w:r>
              <w:rPr>
                <w:rFonts w:ascii="Times New Roman" w:hAnsi="Times New Roman" w:eastAsia="方正仿宋_GB2312"/>
                <w:b/>
                <w:i w:val="0"/>
                <w:color w:val="000000" w:themeColor="dark1"/>
                <w:spacing w:val="-8"/>
                <w:position w:val="7"/>
                <w:sz w:val="24"/>
                <w:szCs w:val="24"/>
                <w14:textFill>
                  <w14:solidFill>
                    <w14:schemeClr w14:val="dk1"/>
                  </w14:solidFill>
                </w14:textFill>
              </w:rPr>
              <w:t>二级</w:t>
            </w:r>
            <w:r>
              <w:rPr>
                <w:rFonts w:ascii="Times New Roman" w:hAnsi="Times New Roman" w:eastAsia="方正仿宋_GB2312"/>
                <w:b/>
                <w:i w:val="0"/>
                <w:color w:val="000000" w:themeColor="dark1"/>
                <w:spacing w:val="-7"/>
                <w:sz w:val="24"/>
                <w:szCs w:val="24"/>
                <w14:textFill>
                  <w14:solidFill>
                    <w14:schemeClr w14:val="dk1"/>
                  </w14:solidFill>
                </w14:textFill>
              </w:rPr>
              <w:t>指标</w:t>
            </w:r>
          </w:p>
        </w:tc>
        <w:tc>
          <w:tcPr>
            <w:tcW w:w="1596" w:type="dxa"/>
            <w:tcBorders>
              <w:bottom w:val="single" w:color="auto" w:sz="4"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212" w:line="240" w:lineRule="auto"/>
              <w:ind w:left="0" w:leftChars="0" w:right="0" w:rightChars="0" w:firstLine="0" w:firstLineChars="0"/>
              <w:jc w:val="center"/>
              <w:textAlignment w:val="auto"/>
              <w:rPr>
                <w:rFonts w:hint="eastAsia" w:ascii="Times New Roman" w:hAnsi="Times New Roman" w:eastAsia="方正仿宋_GB2312" w:cs="宋体"/>
                <w:spacing w:val="-5"/>
                <w:sz w:val="24"/>
                <w:szCs w:val="24"/>
                <w:lang w:val="en-US" w:eastAsia="en-US" w:bidi="ar-SA"/>
              </w:rPr>
            </w:pPr>
            <w:r>
              <w:rPr>
                <w:rFonts w:ascii="Times New Roman" w:hAnsi="Times New Roman" w:eastAsia="方正仿宋_GB2312"/>
                <w:b/>
                <w:i w:val="0"/>
                <w:color w:val="000000" w:themeColor="dark1"/>
                <w:spacing w:val="-4"/>
                <w:sz w:val="24"/>
                <w:szCs w:val="24"/>
                <w14:textFill>
                  <w14:solidFill>
                    <w14:schemeClr w14:val="dk1"/>
                  </w14:solidFill>
                </w14:textFill>
              </w:rPr>
              <w:t>三级指标</w:t>
            </w:r>
          </w:p>
        </w:tc>
        <w:tc>
          <w:tcPr>
            <w:tcW w:w="3645" w:type="dxa"/>
            <w:tcBorders>
              <w:bottom w:val="single" w:color="auto" w:sz="4"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212" w:line="240" w:lineRule="auto"/>
              <w:ind w:left="0" w:leftChars="0" w:right="0" w:rightChars="0" w:firstLine="0" w:firstLineChars="0"/>
              <w:jc w:val="center"/>
              <w:textAlignment w:val="auto"/>
              <w:rPr>
                <w:rFonts w:ascii="Times New Roman" w:hAnsi="Times New Roman" w:eastAsia="方正仿宋_GB2312" w:cs="宋体"/>
                <w:spacing w:val="-4"/>
                <w:sz w:val="24"/>
                <w:szCs w:val="24"/>
                <w:lang w:val="en-US" w:eastAsia="en-US" w:bidi="ar-SA"/>
              </w:rPr>
            </w:pPr>
            <w:r>
              <w:rPr>
                <w:rFonts w:ascii="Times New Roman" w:hAnsi="Times New Roman" w:eastAsia="方正仿宋_GB2312"/>
                <w:b/>
                <w:i w:val="0"/>
                <w:color w:val="000000" w:themeColor="dark1"/>
                <w:spacing w:val="-4"/>
                <w:sz w:val="24"/>
                <w:szCs w:val="24"/>
                <w14:textFill>
                  <w14:solidFill>
                    <w14:schemeClr w14:val="dk1"/>
                  </w14:solidFill>
                </w14:textFill>
              </w:rPr>
              <w:t>评价标准</w:t>
            </w:r>
          </w:p>
        </w:tc>
        <w:tc>
          <w:tcPr>
            <w:tcW w:w="494" w:type="dxa"/>
            <w:tcBorders>
              <w:bottom w:val="single" w:color="auto" w:sz="4"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hint="eastAsia" w:ascii="Times New Roman" w:hAnsi="Times New Roman" w:eastAsia="方正仿宋_GB2312" w:cs="宋体"/>
                <w:sz w:val="24"/>
                <w:szCs w:val="24"/>
                <w:lang w:val="en-US" w:eastAsia="zh-CN" w:bidi="ar-SA"/>
              </w:rPr>
            </w:pPr>
            <w:r>
              <w:rPr>
                <w:rFonts w:ascii="Times New Roman" w:hAnsi="Times New Roman" w:eastAsia="方正仿宋_GB2312"/>
                <w:b/>
                <w:i w:val="0"/>
                <w:color w:val="000000" w:themeColor="dark1"/>
                <w:spacing w:val="-7"/>
                <w:sz w:val="24"/>
                <w:szCs w:val="24"/>
                <w14:textFill>
                  <w14:solidFill>
                    <w14:schemeClr w14:val="dk1"/>
                  </w14:solidFill>
                </w14:textFill>
              </w:rPr>
              <w:t>分值</w:t>
            </w:r>
          </w:p>
        </w:tc>
        <w:tc>
          <w:tcPr>
            <w:tcW w:w="521" w:type="dxa"/>
            <w:tcBorders>
              <w:bottom w:val="single" w:color="auto" w:sz="4"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hint="eastAsia" w:ascii="Times New Roman" w:hAnsi="Times New Roman" w:eastAsia="方正仿宋_GB2312" w:cs="宋体"/>
                <w:sz w:val="24"/>
                <w:szCs w:val="24"/>
                <w:lang w:val="en-US" w:eastAsia="zh-CN" w:bidi="ar-SA"/>
              </w:rPr>
            </w:pPr>
            <w:r>
              <w:rPr>
                <w:rFonts w:ascii="Times New Roman" w:hAnsi="Times New Roman" w:eastAsia="方正仿宋_GB2312"/>
                <w:b/>
                <w:i w:val="0"/>
                <w:color w:val="000000" w:themeColor="dark1"/>
                <w:spacing w:val="-6"/>
                <w:sz w:val="24"/>
                <w:szCs w:val="24"/>
                <w14:textFill>
                  <w14:solidFill>
                    <w14:schemeClr w14:val="dk1"/>
                  </w14:solidFill>
                </w14:textFill>
              </w:rPr>
              <w:t>得分</w:t>
            </w:r>
          </w:p>
        </w:tc>
        <w:tc>
          <w:tcPr>
            <w:tcW w:w="1204" w:type="dxa"/>
            <w:tcBorders>
              <w:bottom w:val="single" w:color="auto" w:sz="4" w:space="0"/>
              <w:right w:val="single" w:color="000000" w:sz="6" w:space="0"/>
            </w:tcBorders>
            <w:shd w:val="clear" w:color="auto" w:fill="auto"/>
            <w:vAlign w:val="center"/>
          </w:tcPr>
          <w:p>
            <w:pPr>
              <w:pStyle w:val="32"/>
              <w:keepNext w:val="0"/>
              <w:keepLines w:val="0"/>
              <w:pageBreakBefore w:val="0"/>
              <w:widowControl w:val="0"/>
              <w:kinsoku/>
              <w:wordWrap/>
              <w:overflowPunct/>
              <w:topLinePunct w:val="0"/>
              <w:bidi w:val="0"/>
              <w:adjustRightInd/>
              <w:snapToGrid w:val="0"/>
              <w:spacing w:before="211" w:line="240" w:lineRule="auto"/>
              <w:ind w:left="0" w:leftChars="0" w:right="0" w:rightChars="0" w:firstLine="0" w:firstLineChars="0"/>
              <w:jc w:val="center"/>
              <w:textAlignment w:val="auto"/>
              <w:rPr>
                <w:rFonts w:ascii="Times New Roman" w:hAnsi="Times New Roman" w:eastAsia="方正仿宋_GB2312" w:cs="宋体"/>
                <w:spacing w:val="-5"/>
                <w:position w:val="-3"/>
                <w:sz w:val="24"/>
                <w:szCs w:val="24"/>
                <w:lang w:val="en-US" w:eastAsia="en-US" w:bidi="ar-SA"/>
              </w:rPr>
            </w:pPr>
            <w:r>
              <w:rPr>
                <w:rFonts w:ascii="Times New Roman" w:hAnsi="Times New Roman" w:eastAsia="方正仿宋_GB2312"/>
                <w:b/>
                <w:i w:val="0"/>
                <w:color w:val="000000" w:themeColor="dark1"/>
                <w:spacing w:val="-4"/>
                <w:sz w:val="24"/>
                <w:szCs w:val="24"/>
                <w14:textFill>
                  <w14:solidFill>
                    <w14:schemeClr w14:val="dk1"/>
                  </w14:solidFill>
                </w14:textFill>
              </w:rPr>
              <w:t>偏差原因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683" w:type="dxa"/>
            <w:vMerge w:val="restart"/>
            <w:tcBorders>
              <w:left w:val="single" w:color="000000" w:sz="6"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sz w:val="24"/>
                <w:szCs w:val="24"/>
              </w:rPr>
              <w:t>产出</w:t>
            </w:r>
          </w:p>
        </w:tc>
        <w:tc>
          <w:tcPr>
            <w:tcW w:w="476" w:type="dxa"/>
            <w:vMerge w:val="restart"/>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pacing w:val="-6"/>
                <w:position w:val="7"/>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position w:val="7"/>
                <w:sz w:val="24"/>
                <w:szCs w:val="24"/>
              </w:rPr>
              <w:t>产出</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7"/>
                <w:sz w:val="24"/>
                <w:szCs w:val="24"/>
              </w:rPr>
              <w:t>数量</w:t>
            </w:r>
          </w:p>
        </w:tc>
        <w:tc>
          <w:tcPr>
            <w:tcW w:w="1596"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发布宣传</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稿件数量</w:t>
            </w:r>
          </w:p>
        </w:tc>
        <w:tc>
          <w:tcPr>
            <w:tcW w:w="3645" w:type="dxa"/>
            <w:vMerge w:val="restart"/>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spacing w:val="-4"/>
                <w:sz w:val="24"/>
                <w:szCs w:val="24"/>
              </w:rPr>
              <w:t>（1）与设定指标值相比，完成指标值的，记该指标所赋全部分值；</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4"/>
                <w:sz w:val="24"/>
                <w:szCs w:val="24"/>
              </w:rPr>
            </w:pPr>
            <w:r>
              <w:rPr>
                <w:rFonts w:ascii="Times New Roman" w:hAnsi="Times New Roman" w:eastAsia="方正仿宋_GB2312"/>
                <w:spacing w:val="-4"/>
                <w:sz w:val="24"/>
                <w:szCs w:val="24"/>
              </w:rPr>
              <w:t>（2）对完成值高于指标值较多的，若是由于指标值设定明显偏低造成的，按照偏离度适当调减分值；</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4"/>
                <w:sz w:val="24"/>
                <w:szCs w:val="24"/>
              </w:rPr>
              <w:t>（3）未完成指标值的，按照完成值与指标值的比例积分。</w:t>
            </w:r>
          </w:p>
        </w:tc>
        <w:tc>
          <w:tcPr>
            <w:tcW w:w="494"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5</w:t>
            </w:r>
          </w:p>
        </w:tc>
        <w:tc>
          <w:tcPr>
            <w:tcW w:w="521"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z w:val="24"/>
                <w:szCs w:val="24"/>
              </w:rPr>
              <w:t>5</w:t>
            </w:r>
          </w:p>
        </w:tc>
        <w:tc>
          <w:tcPr>
            <w:tcW w:w="1204" w:type="dxa"/>
            <w:tcBorders>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83" w:type="dxa"/>
            <w:vMerge w:val="continue"/>
            <w:tcBorders>
              <w:top w:val="single" w:color="auto" w:sz="4" w:space="0"/>
              <w:left w:val="single" w:color="000000" w:sz="6"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continue"/>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596" w:type="dxa"/>
            <w:tcBorders>
              <w:top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lang w:val="en-US" w:eastAsia="zh-CN"/>
              </w:rPr>
            </w:pPr>
            <w:r>
              <w:rPr>
                <w:rFonts w:hint="eastAsia" w:ascii="Times New Roman" w:hAnsi="Times New Roman" w:eastAsia="方正仿宋_GB2312"/>
                <w:b w:val="0"/>
                <w:i w:val="0"/>
                <w:color w:val="000000"/>
                <w:spacing w:val="-4"/>
                <w:sz w:val="24"/>
                <w:szCs w:val="24"/>
              </w:rPr>
              <w:t>出版</w:t>
            </w:r>
            <w:r>
              <w:rPr>
                <w:rFonts w:hint="eastAsia" w:ascii="Times New Roman" w:hAnsi="Times New Roman" w:eastAsia="方正仿宋_GB2312"/>
                <w:b w:val="0"/>
                <w:i w:val="0"/>
                <w:color w:val="000000"/>
                <w:spacing w:val="-4"/>
                <w:sz w:val="24"/>
                <w:szCs w:val="24"/>
                <w:lang w:val="en-US" w:eastAsia="zh-CN"/>
              </w:rPr>
              <w:t>杂志</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数量</w:t>
            </w:r>
          </w:p>
        </w:tc>
        <w:tc>
          <w:tcPr>
            <w:tcW w:w="3645" w:type="dxa"/>
            <w:vMerge w:val="continue"/>
            <w:tcBorders>
              <w:top w:val="single" w:color="auto" w:sz="4"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eastAsia="zh-CN"/>
              </w:rPr>
            </w:pPr>
            <w:r>
              <w:rPr>
                <w:rFonts w:hint="eastAsia" w:ascii="Times New Roman" w:hAnsi="Times New Roman" w:eastAsia="方正仿宋_GB2312"/>
                <w:sz w:val="24"/>
                <w:szCs w:val="24"/>
                <w:lang w:val="en-US" w:eastAsia="zh-CN"/>
              </w:rPr>
              <w:t>5</w:t>
            </w:r>
          </w:p>
        </w:tc>
        <w:tc>
          <w:tcPr>
            <w:tcW w:w="521" w:type="dxa"/>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4</w:t>
            </w:r>
          </w:p>
        </w:tc>
        <w:tc>
          <w:tcPr>
            <w:tcW w:w="1204" w:type="dxa"/>
            <w:tcBorders>
              <w:top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cs="宋体"/>
                <w:b w:val="0"/>
                <w:i w:val="0"/>
                <w:color w:val="000000"/>
                <w:spacing w:val="-4"/>
                <w:sz w:val="24"/>
                <w:szCs w:val="24"/>
                <w:lang w:val="en-US" w:eastAsia="zh-CN"/>
              </w:rPr>
              <w:t>市场具有不确定性，故</w:t>
            </w:r>
            <w:r>
              <w:rPr>
                <w:rFonts w:hint="eastAsia" w:ascii="Times New Roman" w:hAnsi="Times New Roman" w:eastAsia="方正仿宋_GB2312" w:cs="宋体"/>
                <w:b w:val="0"/>
                <w:i w:val="0"/>
                <w:color w:val="000000"/>
                <w:spacing w:val="-4"/>
                <w:sz w:val="24"/>
                <w:szCs w:val="24"/>
              </w:rPr>
              <w:t>指标值设定</w:t>
            </w:r>
            <w:r>
              <w:rPr>
                <w:rFonts w:hint="eastAsia" w:ascii="Times New Roman" w:hAnsi="Times New Roman" w:eastAsia="方正仿宋_GB2312" w:cs="宋体"/>
                <w:b w:val="0"/>
                <w:i w:val="0"/>
                <w:color w:val="000000"/>
                <w:spacing w:val="-4"/>
                <w:sz w:val="24"/>
                <w:szCs w:val="24"/>
                <w:lang w:val="en-US" w:eastAsia="zh-CN"/>
              </w:rPr>
              <w:t>较</w:t>
            </w:r>
            <w:r>
              <w:rPr>
                <w:rFonts w:hint="eastAsia" w:ascii="Times New Roman" w:hAnsi="Times New Roman" w:eastAsia="方正仿宋_GB2312" w:cs="宋体"/>
                <w:b w:val="0"/>
                <w:i w:val="0"/>
                <w:color w:val="000000"/>
                <w:spacing w:val="-4"/>
                <w:sz w:val="24"/>
                <w:szCs w:val="24"/>
              </w:rPr>
              <w:t>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683" w:type="dxa"/>
            <w:vMerge w:val="continue"/>
            <w:tcBorders>
              <w:top w:val="nil"/>
              <w:left w:val="single" w:color="000000" w:sz="6"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restart"/>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imes New Roman" w:hAnsi="Times New Roman" w:eastAsia="方正仿宋_GB2312"/>
                <w:spacing w:val="-6"/>
                <w:position w:val="7"/>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position w:val="7"/>
                <w:sz w:val="24"/>
                <w:szCs w:val="24"/>
              </w:rPr>
              <w:t>产出</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sz w:val="24"/>
                <w:szCs w:val="24"/>
              </w:rPr>
              <w:t>质量</w:t>
            </w:r>
          </w:p>
        </w:tc>
        <w:tc>
          <w:tcPr>
            <w:tcW w:w="1596"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期刊编校</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差错率</w:t>
            </w:r>
          </w:p>
        </w:tc>
        <w:tc>
          <w:tcPr>
            <w:tcW w:w="3645" w:type="dxa"/>
            <w:vMerge w:val="continue"/>
            <w:tcBorders>
              <w:top w:val="nil"/>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521" w:type="dxa"/>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1204" w:type="dxa"/>
            <w:tcBorders>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83" w:type="dxa"/>
            <w:vMerge w:val="continue"/>
            <w:tcBorders>
              <w:top w:val="single" w:color="auto" w:sz="4" w:space="0"/>
              <w:left w:val="single" w:color="000000" w:sz="6"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continue"/>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596" w:type="dxa"/>
            <w:tcBorders>
              <w:top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装帧印制</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合格质量</w:t>
            </w:r>
          </w:p>
        </w:tc>
        <w:tc>
          <w:tcPr>
            <w:tcW w:w="3645" w:type="dxa"/>
            <w:vMerge w:val="continue"/>
            <w:tcBorders>
              <w:top w:val="single" w:color="auto" w:sz="4"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521" w:type="dxa"/>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1204" w:type="dxa"/>
            <w:tcBorders>
              <w:top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683" w:type="dxa"/>
            <w:vMerge w:val="continue"/>
            <w:tcBorders>
              <w:top w:val="nil"/>
              <w:left w:val="single" w:color="000000" w:sz="6"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restart"/>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position w:val="7"/>
                <w:sz w:val="24"/>
                <w:szCs w:val="24"/>
              </w:rPr>
              <w:t>产出</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1"/>
                <w:sz w:val="24"/>
                <w:szCs w:val="24"/>
              </w:rPr>
              <w:t>时效</w:t>
            </w:r>
          </w:p>
        </w:tc>
        <w:tc>
          <w:tcPr>
            <w:tcW w:w="1596"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lang w:val="en-US" w:eastAsia="zh-CN"/>
              </w:rPr>
            </w:pPr>
            <w:r>
              <w:rPr>
                <w:rFonts w:hint="eastAsia" w:ascii="Times New Roman" w:hAnsi="Times New Roman" w:eastAsia="方正仿宋_GB2312"/>
                <w:b w:val="0"/>
                <w:i w:val="0"/>
                <w:color w:val="000000"/>
                <w:spacing w:val="-4"/>
                <w:sz w:val="24"/>
                <w:szCs w:val="24"/>
              </w:rPr>
              <w:t>出刊</w:t>
            </w:r>
            <w:r>
              <w:rPr>
                <w:rFonts w:hint="eastAsia" w:ascii="Times New Roman" w:hAnsi="Times New Roman" w:eastAsia="方正仿宋_GB2312"/>
                <w:b w:val="0"/>
                <w:i w:val="0"/>
                <w:color w:val="000000"/>
                <w:spacing w:val="-4"/>
                <w:sz w:val="24"/>
                <w:szCs w:val="24"/>
                <w:lang w:val="en-US" w:eastAsia="zh-CN"/>
              </w:rPr>
              <w:t>周期</w:t>
            </w:r>
          </w:p>
        </w:tc>
        <w:tc>
          <w:tcPr>
            <w:tcW w:w="3645" w:type="dxa"/>
            <w:vMerge w:val="continue"/>
            <w:tcBorders>
              <w:top w:val="nil"/>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521" w:type="dxa"/>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1204" w:type="dxa"/>
            <w:tcBorders>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683" w:type="dxa"/>
            <w:vMerge w:val="continue"/>
            <w:tcBorders>
              <w:top w:val="single" w:color="auto" w:sz="4" w:space="0"/>
              <w:left w:val="single" w:color="000000" w:sz="6"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continue"/>
            <w:tcBorders>
              <w:top w:val="single" w:color="auto" w:sz="4"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596" w:type="dxa"/>
            <w:tcBorders>
              <w:top w:val="single" w:color="auto" w:sz="4" w:space="0"/>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舆情及时处置率</w:t>
            </w:r>
          </w:p>
        </w:tc>
        <w:tc>
          <w:tcPr>
            <w:tcW w:w="3645" w:type="dxa"/>
            <w:vMerge w:val="continue"/>
            <w:tcBorders>
              <w:top w:val="single" w:color="auto" w:sz="4"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top w:val="single" w:color="auto" w:sz="4"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521" w:type="dxa"/>
            <w:tcBorders>
              <w:top w:val="single" w:color="auto" w:sz="4"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1204" w:type="dxa"/>
            <w:tcBorders>
              <w:top w:val="single" w:color="auto" w:sz="4" w:space="0"/>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83" w:type="dxa"/>
            <w:vMerge w:val="continue"/>
            <w:tcBorders>
              <w:top w:val="single" w:color="auto" w:sz="4" w:space="0"/>
              <w:left w:val="single" w:color="000000" w:sz="6"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restart"/>
            <w:tcBorders>
              <w:top w:val="single" w:color="auto" w:sz="4"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6"/>
                <w:position w:val="7"/>
                <w:sz w:val="24"/>
                <w:szCs w:val="24"/>
              </w:rPr>
              <w:t>产出</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7"/>
                <w:sz w:val="24"/>
                <w:szCs w:val="24"/>
              </w:rPr>
              <w:t>成本</w:t>
            </w:r>
          </w:p>
        </w:tc>
        <w:tc>
          <w:tcPr>
            <w:tcW w:w="1596" w:type="dxa"/>
            <w:tcBorders>
              <w:top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刊物编辑人员工资</w:t>
            </w:r>
          </w:p>
        </w:tc>
        <w:tc>
          <w:tcPr>
            <w:tcW w:w="3645" w:type="dxa"/>
            <w:vMerge w:val="continue"/>
            <w:tcBorders>
              <w:top w:val="single" w:color="auto" w:sz="4" w:space="0"/>
              <w:bottom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521" w:type="dxa"/>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1204" w:type="dxa"/>
            <w:tcBorders>
              <w:top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83" w:type="dxa"/>
            <w:vMerge w:val="continue"/>
            <w:tcBorders>
              <w:top w:val="nil"/>
              <w:left w:val="single" w:color="000000" w:sz="6"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continue"/>
            <w:tcBorders>
              <w:top w:val="nil"/>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596"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印刷费</w:t>
            </w:r>
          </w:p>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成本</w:t>
            </w:r>
          </w:p>
        </w:tc>
        <w:tc>
          <w:tcPr>
            <w:tcW w:w="3645" w:type="dxa"/>
            <w:vMerge w:val="continue"/>
            <w:tcBorders>
              <w:top w:val="nil"/>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521" w:type="dxa"/>
            <w:tcBorders>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5</w:t>
            </w:r>
          </w:p>
        </w:tc>
        <w:tc>
          <w:tcPr>
            <w:tcW w:w="1204" w:type="dxa"/>
            <w:tcBorders>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683" w:type="dxa"/>
            <w:vMerge w:val="restart"/>
            <w:tcBorders>
              <w:top w:val="nil"/>
              <w:left w:val="single" w:color="000000" w:sz="6"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8"/>
                <w:sz w:val="24"/>
                <w:szCs w:val="24"/>
              </w:rPr>
              <w:t>效率</w:t>
            </w:r>
          </w:p>
        </w:tc>
        <w:tc>
          <w:tcPr>
            <w:tcW w:w="476" w:type="dxa"/>
            <w:vMerge w:val="restart"/>
            <w:tcBorders>
              <w:top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8"/>
                <w:position w:val="7"/>
                <w:sz w:val="24"/>
                <w:szCs w:val="24"/>
              </w:rPr>
              <w:t>项目</w:t>
            </w:r>
          </w:p>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8"/>
                <w:sz w:val="24"/>
                <w:szCs w:val="24"/>
              </w:rPr>
              <w:t>效益</w:t>
            </w:r>
          </w:p>
        </w:tc>
        <w:tc>
          <w:tcPr>
            <w:tcW w:w="1596"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发挥党刊的理论宣传和实践指导功能</w:t>
            </w:r>
          </w:p>
        </w:tc>
        <w:tc>
          <w:tcPr>
            <w:tcW w:w="3645" w:type="dxa"/>
            <w:vMerge w:val="continue"/>
            <w:tcBorders>
              <w:top w:val="nil"/>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10</w:t>
            </w:r>
          </w:p>
        </w:tc>
        <w:tc>
          <w:tcPr>
            <w:tcW w:w="521" w:type="dxa"/>
            <w:tcBorders>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10</w:t>
            </w:r>
          </w:p>
        </w:tc>
        <w:tc>
          <w:tcPr>
            <w:tcW w:w="1204" w:type="dxa"/>
            <w:tcBorders>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pacing w:val="-1"/>
                <w:position w:val="-3"/>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683" w:type="dxa"/>
            <w:vMerge w:val="continue"/>
            <w:tcBorders>
              <w:lef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476" w:type="dxa"/>
            <w:vMerge w:val="continue"/>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596" w:type="dxa"/>
            <w:tcBorders>
              <w:top w:val="single" w:color="auto" w:sz="4" w:space="0"/>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b w:val="0"/>
                <w:i w:val="0"/>
                <w:color w:val="000000"/>
                <w:spacing w:val="-4"/>
                <w:sz w:val="24"/>
                <w:szCs w:val="24"/>
              </w:rPr>
            </w:pPr>
            <w:r>
              <w:rPr>
                <w:rFonts w:hint="eastAsia" w:ascii="Times New Roman" w:hAnsi="Times New Roman" w:eastAsia="方正仿宋_GB2312"/>
                <w:b w:val="0"/>
                <w:i w:val="0"/>
                <w:color w:val="000000"/>
                <w:spacing w:val="-4"/>
                <w:sz w:val="24"/>
                <w:szCs w:val="24"/>
              </w:rPr>
              <w:t>增强刊物可读性和影响力</w:t>
            </w:r>
          </w:p>
        </w:tc>
        <w:tc>
          <w:tcPr>
            <w:tcW w:w="3645" w:type="dxa"/>
            <w:vMerge w:val="continue"/>
            <w:tcBorders>
              <w:top w:val="single" w:color="auto" w:sz="4" w:space="0"/>
              <w:bottom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top w:val="single" w:color="auto" w:sz="4" w:space="0"/>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10</w:t>
            </w:r>
          </w:p>
        </w:tc>
        <w:tc>
          <w:tcPr>
            <w:tcW w:w="521" w:type="dxa"/>
            <w:tcBorders>
              <w:top w:val="single" w:color="auto" w:sz="4" w:space="0"/>
              <w:bottom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10</w:t>
            </w:r>
          </w:p>
        </w:tc>
        <w:tc>
          <w:tcPr>
            <w:tcW w:w="1204" w:type="dxa"/>
            <w:tcBorders>
              <w:top w:val="single" w:color="auto" w:sz="4" w:space="0"/>
              <w:bottom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683" w:type="dxa"/>
            <w:vMerge w:val="continue"/>
            <w:tcBorders>
              <w:left w:val="single" w:color="000000" w:sz="6"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76" w:type="dxa"/>
            <w:vMerge w:val="continue"/>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p>
        </w:tc>
        <w:tc>
          <w:tcPr>
            <w:tcW w:w="1596" w:type="dxa"/>
            <w:tcBorders>
              <w:top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ascii="Times New Roman" w:hAnsi="Times New Roman" w:eastAsia="方正仿宋_GB2312"/>
                <w:sz w:val="24"/>
                <w:szCs w:val="24"/>
              </w:rPr>
            </w:pPr>
            <w:r>
              <w:rPr>
                <w:rFonts w:hint="eastAsia" w:ascii="Times New Roman" w:hAnsi="Times New Roman" w:eastAsia="方正仿宋_GB2312"/>
                <w:b w:val="0"/>
                <w:i w:val="0"/>
                <w:color w:val="000000"/>
                <w:spacing w:val="-4"/>
                <w:sz w:val="24"/>
                <w:szCs w:val="24"/>
              </w:rPr>
              <w:t>作者队伍对刊物满意度</w:t>
            </w:r>
          </w:p>
        </w:tc>
        <w:tc>
          <w:tcPr>
            <w:tcW w:w="3645" w:type="dxa"/>
            <w:vMerge w:val="continue"/>
            <w:tcBorders>
              <w:top w:val="single" w:color="auto" w:sz="4" w:space="0"/>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textAlignment w:val="auto"/>
              <w:rPr>
                <w:rFonts w:ascii="Times New Roman" w:hAnsi="Times New Roman" w:eastAsia="方正仿宋_GB2312"/>
                <w:sz w:val="24"/>
                <w:szCs w:val="24"/>
              </w:rPr>
            </w:pPr>
          </w:p>
        </w:tc>
        <w:tc>
          <w:tcPr>
            <w:tcW w:w="494" w:type="dxa"/>
            <w:tcBorders>
              <w:top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8</w:t>
            </w:r>
          </w:p>
        </w:tc>
        <w:tc>
          <w:tcPr>
            <w:tcW w:w="521" w:type="dxa"/>
            <w:tcBorders>
              <w:top w:val="single" w:color="auto" w:sz="4"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Times New Roman" w:hAnsi="Times New Roman" w:eastAsia="方正仿宋_GB2312"/>
                <w:sz w:val="24"/>
                <w:szCs w:val="24"/>
                <w:lang w:val="en-US" w:eastAsia="zh-CN"/>
              </w:rPr>
            </w:pPr>
            <w:r>
              <w:rPr>
                <w:rFonts w:hint="eastAsia" w:ascii="Times New Roman" w:hAnsi="Times New Roman" w:eastAsia="方正仿宋_GB2312"/>
                <w:sz w:val="24"/>
                <w:szCs w:val="24"/>
                <w:lang w:val="en-US" w:eastAsia="zh-CN"/>
              </w:rPr>
              <w:t>8</w:t>
            </w:r>
          </w:p>
        </w:tc>
        <w:tc>
          <w:tcPr>
            <w:tcW w:w="1204" w:type="dxa"/>
            <w:tcBorders>
              <w:top w:val="single" w:color="auto" w:sz="4"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2755" w:type="dxa"/>
            <w:gridSpan w:val="3"/>
            <w:tcBorders>
              <w:left w:val="single" w:color="000000" w:sz="6" w:space="0"/>
              <w:bottom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9"/>
                <w:sz w:val="24"/>
                <w:szCs w:val="24"/>
              </w:rPr>
              <w:t>总分</w:t>
            </w:r>
          </w:p>
        </w:tc>
        <w:tc>
          <w:tcPr>
            <w:tcW w:w="3645" w:type="dxa"/>
            <w:tcBorders>
              <w:bottom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c>
          <w:tcPr>
            <w:tcW w:w="494" w:type="dxa"/>
            <w:tcBorders>
              <w:bottom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hint="eastAsia" w:ascii="Times New Roman" w:hAnsi="Times New Roman" w:eastAsia="方正仿宋_GB2312"/>
                <w:spacing w:val="-9"/>
                <w:sz w:val="24"/>
                <w:szCs w:val="24"/>
                <w:lang w:val="en-US" w:eastAsia="zh-CN"/>
              </w:rPr>
              <w:t>100</w:t>
            </w:r>
          </w:p>
        </w:tc>
        <w:tc>
          <w:tcPr>
            <w:tcW w:w="521" w:type="dxa"/>
            <w:tcBorders>
              <w:bottom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方正仿宋_GB2312"/>
                <w:sz w:val="24"/>
                <w:szCs w:val="24"/>
                <w:lang w:val="en-US" w:eastAsia="zh-CN"/>
              </w:rPr>
            </w:pPr>
            <w:r>
              <w:rPr>
                <w:rFonts w:hint="eastAsia" w:ascii="Times New Roman" w:hAnsi="Times New Roman" w:eastAsia="方正仿宋_GB2312"/>
                <w:spacing w:val="-6"/>
                <w:sz w:val="24"/>
                <w:szCs w:val="24"/>
                <w:lang w:val="en-US" w:eastAsia="zh-CN"/>
              </w:rPr>
              <w:t>97</w:t>
            </w:r>
          </w:p>
        </w:tc>
        <w:tc>
          <w:tcPr>
            <w:tcW w:w="1204" w:type="dxa"/>
            <w:tcBorders>
              <w:bottom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imes New Roman" w:hAnsi="Times New Roman" w:eastAsia="方正仿宋_GB2312"/>
                <w:sz w:val="24"/>
                <w:szCs w:val="24"/>
              </w:rPr>
            </w:pPr>
            <w:r>
              <w:rPr>
                <w:rFonts w:ascii="Times New Roman" w:hAnsi="Times New Roman" w:eastAsia="方正仿宋_GB2312"/>
                <w:spacing w:val="-1"/>
                <w:position w:val="-3"/>
                <w:sz w:val="24"/>
                <w:szCs w:val="24"/>
              </w:rPr>
              <w:t>——</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outlineLvl w:val="0"/>
        <w:rPr>
          <w:rFonts w:ascii="Times New Roman" w:hAnsi="Times New Roman" w:eastAsia="方正仿宋_GB2312"/>
          <w:b/>
          <w:bCs/>
          <w:sz w:val="32"/>
          <w:szCs w:val="32"/>
          <w:highlight w:val="none"/>
          <w:lang w:val="en-US"/>
        </w:rPr>
      </w:pPr>
      <w:bookmarkStart w:id="128" w:name="_Toc29510"/>
      <w:r>
        <w:rPr>
          <w:rFonts w:hint="eastAsia" w:ascii="Times New Roman" w:hAnsi="Times New Roman" w:eastAsia="方正仿宋_GB2312"/>
          <w:b/>
          <w:bCs/>
          <w:sz w:val="32"/>
          <w:szCs w:val="32"/>
          <w:highlight w:val="none"/>
          <w:lang w:val="en-US"/>
        </w:rPr>
        <w:t>四、绩效评价指标分析</w:t>
      </w:r>
      <w:bookmarkEnd w:id="128"/>
    </w:p>
    <w:p>
      <w:pPr>
        <w:pStyle w:val="3"/>
        <w:keepNext w:val="0"/>
        <w:keepLines w:val="0"/>
        <w:pageBreakBefore w:val="0"/>
        <w:widowControl w:val="0"/>
        <w:kinsoku/>
        <w:wordWrap/>
        <w:overflowPunct/>
        <w:topLinePunct w:val="0"/>
        <w:bidi w:val="0"/>
        <w:adjustRightInd/>
        <w:snapToGrid/>
        <w:spacing w:before="0" w:after="0" w:line="600" w:lineRule="exact"/>
        <w:ind w:left="0" w:leftChars="0" w:right="0" w:firstLine="642" w:firstLineChars="200"/>
        <w:jc w:val="left"/>
        <w:textAlignment w:val="auto"/>
        <w:rPr>
          <w:rFonts w:hint="eastAsia" w:ascii="Times New Roman" w:hAnsi="Times New Roman" w:eastAsia="方正仿宋_GB2312" w:cs="仿宋"/>
          <w:sz w:val="32"/>
          <w:szCs w:val="32"/>
          <w:highlight w:val="none"/>
          <w:lang w:val="en-US"/>
        </w:rPr>
      </w:pPr>
      <w:bookmarkStart w:id="129" w:name="_Toc1283"/>
      <w:bookmarkStart w:id="130" w:name="_Toc446"/>
      <w:r>
        <w:rPr>
          <w:rFonts w:hint="eastAsia" w:ascii="Times New Roman" w:hAnsi="Times New Roman" w:eastAsia="方正仿宋_GB2312" w:cs="仿宋"/>
          <w:sz w:val="32"/>
          <w:szCs w:val="32"/>
          <w:highlight w:val="none"/>
          <w:lang w:val="en-US"/>
        </w:rPr>
        <w:t>（一）项目决策情况</w:t>
      </w:r>
      <w:bookmarkEnd w:id="129"/>
      <w:bookmarkEnd w:id="130"/>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textAlignment w:val="auto"/>
        <w:outlineLvl w:val="2"/>
        <w:rPr>
          <w:rFonts w:hint="eastAsia" w:ascii="Times New Roman" w:hAnsi="Times New Roman" w:eastAsia="方正仿宋_GB2312" w:cs="仿宋"/>
          <w:b/>
          <w:sz w:val="32"/>
          <w:szCs w:val="32"/>
          <w:highlight w:val="none"/>
          <w:lang w:val="zh-CN"/>
        </w:rPr>
      </w:pPr>
      <w:bookmarkStart w:id="131" w:name="_Toc8745"/>
      <w:bookmarkStart w:id="132" w:name="_Toc3374"/>
      <w:bookmarkStart w:id="133" w:name="_Toc6396"/>
      <w:bookmarkStart w:id="134" w:name="_Toc15554"/>
      <w:bookmarkStart w:id="135" w:name="_Toc8776"/>
      <w:bookmarkStart w:id="136" w:name="_Toc8079"/>
      <w:bookmarkStart w:id="137" w:name="_Toc15715"/>
      <w:bookmarkStart w:id="138" w:name="_Toc5744"/>
      <w:bookmarkStart w:id="139" w:name="_Toc9358"/>
      <w:bookmarkStart w:id="140" w:name="_Toc3567"/>
      <w:r>
        <w:rPr>
          <w:rFonts w:hint="eastAsia" w:ascii="Times New Roman" w:hAnsi="Times New Roman" w:eastAsia="方正仿宋_GB2312" w:cs="仿宋"/>
          <w:b/>
          <w:sz w:val="32"/>
          <w:szCs w:val="32"/>
          <w:highlight w:val="none"/>
          <w:lang w:val="zh-CN"/>
        </w:rPr>
        <w:t>1.项目立项</w:t>
      </w:r>
      <w:bookmarkEnd w:id="131"/>
      <w:bookmarkEnd w:id="132"/>
      <w:bookmarkEnd w:id="133"/>
      <w:bookmarkEnd w:id="134"/>
      <w:bookmarkEnd w:id="135"/>
      <w:bookmarkEnd w:id="136"/>
      <w:bookmarkEnd w:id="137"/>
      <w:bookmarkEnd w:id="138"/>
      <w:bookmarkEnd w:id="139"/>
      <w:bookmarkEnd w:id="140"/>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8864"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2865"/>
        <w:gridCol w:w="3939"/>
        <w:gridCol w:w="634"/>
        <w:gridCol w:w="7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13" w:type="dxa"/>
            <w:tcBorders>
              <w:top w:val="single" w:color="000000" w:sz="6" w:space="0"/>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z w:val="22"/>
                <w:szCs w:val="22"/>
              </w:rPr>
            </w:pPr>
            <w:r>
              <w:rPr>
                <w:rFonts w:ascii="Times New Roman" w:hAnsi="Times New Roman"/>
                <w:spacing w:val="-4"/>
                <w:sz w:val="22"/>
                <w:szCs w:val="22"/>
              </w:rPr>
              <w:t>三级指标</w:t>
            </w:r>
          </w:p>
        </w:tc>
        <w:tc>
          <w:tcPr>
            <w:tcW w:w="2865"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1" w:line="360" w:lineRule="auto"/>
              <w:jc w:val="center"/>
              <w:textAlignment w:val="auto"/>
              <w:rPr>
                <w:rFonts w:ascii="Times New Roman" w:hAnsi="Times New Roman"/>
                <w:sz w:val="22"/>
                <w:szCs w:val="22"/>
              </w:rPr>
            </w:pPr>
            <w:r>
              <w:rPr>
                <w:rFonts w:ascii="Times New Roman" w:hAnsi="Times New Roman"/>
                <w:spacing w:val="-5"/>
                <w:sz w:val="22"/>
                <w:szCs w:val="22"/>
              </w:rPr>
              <w:t>指标解释</w:t>
            </w:r>
          </w:p>
        </w:tc>
        <w:tc>
          <w:tcPr>
            <w:tcW w:w="3939"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1" w:line="360" w:lineRule="auto"/>
              <w:jc w:val="center"/>
              <w:textAlignment w:val="auto"/>
              <w:rPr>
                <w:rFonts w:ascii="Times New Roman" w:hAnsi="Times New Roman"/>
                <w:sz w:val="22"/>
                <w:szCs w:val="22"/>
              </w:rPr>
            </w:pPr>
            <w:r>
              <w:rPr>
                <w:rFonts w:ascii="Times New Roman" w:hAnsi="Times New Roman"/>
                <w:spacing w:val="-4"/>
                <w:sz w:val="22"/>
                <w:szCs w:val="22"/>
              </w:rPr>
              <w:t>评价标准</w:t>
            </w:r>
          </w:p>
        </w:tc>
        <w:tc>
          <w:tcPr>
            <w:tcW w:w="634"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1" w:line="360" w:lineRule="auto"/>
              <w:ind w:left="170"/>
              <w:textAlignment w:val="auto"/>
              <w:rPr>
                <w:rFonts w:ascii="Times New Roman" w:hAnsi="Times New Roman"/>
                <w:sz w:val="22"/>
                <w:szCs w:val="22"/>
              </w:rPr>
            </w:pPr>
            <w:r>
              <w:rPr>
                <w:rFonts w:ascii="Times New Roman" w:hAnsi="Times New Roman"/>
                <w:spacing w:val="-7"/>
                <w:sz w:val="22"/>
                <w:szCs w:val="22"/>
              </w:rPr>
              <w:t>分值</w:t>
            </w:r>
          </w:p>
        </w:tc>
        <w:tc>
          <w:tcPr>
            <w:tcW w:w="713" w:type="dxa"/>
            <w:tcBorders>
              <w:top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1" w:line="360" w:lineRule="auto"/>
              <w:ind w:left="170"/>
              <w:textAlignment w:val="auto"/>
              <w:rPr>
                <w:rFonts w:ascii="Times New Roman" w:hAnsi="Times New Roman"/>
                <w:sz w:val="22"/>
                <w:szCs w:val="22"/>
              </w:rPr>
            </w:pPr>
            <w:r>
              <w:rPr>
                <w:rFonts w:ascii="Times New Roman" w:hAnsi="Times New Roman"/>
                <w:spacing w:val="-6"/>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9" w:hRule="atLeast"/>
        </w:trPr>
        <w:tc>
          <w:tcPr>
            <w:tcW w:w="713" w:type="dxa"/>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216" w:line="360" w:lineRule="auto"/>
              <w:ind w:left="108" w:right="52" w:firstLine="1"/>
              <w:textAlignment w:val="auto"/>
              <w:rPr>
                <w:rFonts w:ascii="Times New Roman" w:hAnsi="Times New Roman"/>
                <w:spacing w:val="-5"/>
                <w:sz w:val="22"/>
                <w:szCs w:val="22"/>
              </w:rPr>
            </w:pPr>
            <w:r>
              <w:rPr>
                <w:rFonts w:ascii="Times New Roman" w:hAnsi="Times New Roman"/>
                <w:spacing w:val="-5"/>
                <w:sz w:val="22"/>
                <w:szCs w:val="22"/>
              </w:rPr>
              <w:t>立项依据充分性</w:t>
            </w:r>
          </w:p>
        </w:tc>
        <w:tc>
          <w:tcPr>
            <w:tcW w:w="2865" w:type="dxa"/>
            <w:vAlign w:val="top"/>
          </w:tcPr>
          <w:p>
            <w:pPr>
              <w:pStyle w:val="32"/>
              <w:keepNext w:val="0"/>
              <w:keepLines w:val="0"/>
              <w:pageBreakBefore w:val="0"/>
              <w:widowControl w:val="0"/>
              <w:kinsoku/>
              <w:wordWrap/>
              <w:overflowPunct/>
              <w:topLinePunct w:val="0"/>
              <w:autoSpaceDE/>
              <w:autoSpaceDN/>
              <w:bidi w:val="0"/>
              <w:adjustRightInd/>
              <w:snapToGrid/>
              <w:spacing w:before="53" w:line="360" w:lineRule="auto"/>
              <w:ind w:left="109" w:right="37"/>
              <w:jc w:val="both"/>
              <w:textAlignment w:val="auto"/>
              <w:rPr>
                <w:rFonts w:ascii="Times New Roman" w:hAnsi="Times New Roman"/>
                <w:sz w:val="22"/>
                <w:szCs w:val="22"/>
              </w:rPr>
            </w:pPr>
            <w:r>
              <w:rPr>
                <w:rFonts w:ascii="Times New Roman" w:hAnsi="Times New Roman"/>
                <w:spacing w:val="-4"/>
                <w:sz w:val="22"/>
                <w:szCs w:val="22"/>
              </w:rPr>
              <w:t>项目立项是否符合法律法规、相关政策、</w:t>
            </w:r>
            <w:r>
              <w:rPr>
                <w:rFonts w:ascii="Times New Roman" w:hAnsi="Times New Roman"/>
                <w:spacing w:val="-8"/>
                <w:sz w:val="22"/>
                <w:szCs w:val="22"/>
              </w:rPr>
              <w:t>发展规划以及部门职责，用以反映和考核</w:t>
            </w:r>
            <w:r>
              <w:rPr>
                <w:rFonts w:ascii="Times New Roman" w:hAnsi="Times New Roman"/>
                <w:spacing w:val="-3"/>
                <w:sz w:val="22"/>
                <w:szCs w:val="22"/>
              </w:rPr>
              <w:t>项目立项依据情况</w:t>
            </w:r>
          </w:p>
        </w:tc>
        <w:tc>
          <w:tcPr>
            <w:tcW w:w="3939" w:type="dxa"/>
            <w:vAlign w:val="top"/>
          </w:tcPr>
          <w:p>
            <w:pPr>
              <w:pStyle w:val="32"/>
              <w:keepNext w:val="0"/>
              <w:keepLines w:val="0"/>
              <w:pageBreakBefore w:val="0"/>
              <w:widowControl w:val="0"/>
              <w:kinsoku/>
              <w:wordWrap/>
              <w:overflowPunct/>
              <w:topLinePunct w:val="0"/>
              <w:autoSpaceDE/>
              <w:autoSpaceDN/>
              <w:bidi w:val="0"/>
              <w:adjustRightInd/>
              <w:snapToGrid/>
              <w:spacing w:before="53" w:line="360" w:lineRule="auto"/>
              <w:ind w:left="109" w:right="37"/>
              <w:jc w:val="both"/>
              <w:textAlignment w:val="auto"/>
              <w:rPr>
                <w:rFonts w:ascii="Times New Roman" w:hAnsi="Times New Roman"/>
                <w:spacing w:val="-8"/>
                <w:sz w:val="22"/>
                <w:szCs w:val="22"/>
              </w:rPr>
            </w:pPr>
            <w:r>
              <w:rPr>
                <w:rFonts w:ascii="Times New Roman" w:hAnsi="Times New Roman"/>
                <w:spacing w:val="-8"/>
                <w:sz w:val="22"/>
                <w:szCs w:val="22"/>
              </w:rPr>
              <w:t>符合法律法规、经济发展规划和相关政策要求（0.5分），与部门法定职责范围相符（0.5分），属于财政事权支出范围（0.5分），不存在重复的同类项目（0.5分）</w:t>
            </w:r>
          </w:p>
        </w:tc>
        <w:tc>
          <w:tcPr>
            <w:tcW w:w="634" w:type="dxa"/>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sz w:val="22"/>
                <w:szCs w:val="22"/>
              </w:rPr>
            </w:pPr>
          </w:p>
          <w:p>
            <w:pPr>
              <w:pStyle w:val="32"/>
              <w:keepNext w:val="0"/>
              <w:keepLines w:val="0"/>
              <w:pageBreakBefore w:val="0"/>
              <w:widowControl w:val="0"/>
              <w:kinsoku/>
              <w:wordWrap/>
              <w:overflowPunct/>
              <w:topLinePunct w:val="0"/>
              <w:autoSpaceDE/>
              <w:autoSpaceDN/>
              <w:bidi w:val="0"/>
              <w:adjustRightInd/>
              <w:snapToGrid/>
              <w:spacing w:before="65" w:line="360" w:lineRule="auto"/>
              <w:ind w:left="318"/>
              <w:textAlignment w:val="auto"/>
              <w:rPr>
                <w:rFonts w:ascii="Times New Roman" w:hAnsi="Times New Roman"/>
                <w:sz w:val="22"/>
                <w:szCs w:val="22"/>
              </w:rPr>
            </w:pPr>
            <w:r>
              <w:rPr>
                <w:rFonts w:ascii="Times New Roman" w:hAnsi="Times New Roman"/>
                <w:sz w:val="22"/>
                <w:szCs w:val="22"/>
              </w:rPr>
              <w:t>2</w:t>
            </w:r>
          </w:p>
        </w:tc>
        <w:tc>
          <w:tcPr>
            <w:tcW w:w="713"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sz w:val="22"/>
                <w:szCs w:val="22"/>
              </w:rPr>
            </w:pPr>
          </w:p>
          <w:p>
            <w:pPr>
              <w:pStyle w:val="32"/>
              <w:keepNext w:val="0"/>
              <w:keepLines w:val="0"/>
              <w:pageBreakBefore w:val="0"/>
              <w:widowControl w:val="0"/>
              <w:kinsoku/>
              <w:wordWrap/>
              <w:overflowPunct/>
              <w:topLinePunct w:val="0"/>
              <w:autoSpaceDE/>
              <w:autoSpaceDN/>
              <w:bidi w:val="0"/>
              <w:adjustRightInd/>
              <w:snapToGrid/>
              <w:spacing w:before="65" w:line="360" w:lineRule="auto"/>
              <w:ind w:left="320"/>
              <w:textAlignment w:val="auto"/>
              <w:rPr>
                <w:rFonts w:ascii="Times New Roman" w:hAnsi="Times New Roman"/>
                <w:sz w:val="22"/>
                <w:szCs w:val="22"/>
              </w:rPr>
            </w:pPr>
            <w:r>
              <w:rPr>
                <w:rFonts w:ascii="Times New Roman" w:hAnsi="Times New Roman"/>
                <w:sz w:val="22"/>
                <w:szCs w:val="22"/>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7" w:hRule="atLeast"/>
        </w:trPr>
        <w:tc>
          <w:tcPr>
            <w:tcW w:w="713" w:type="dxa"/>
            <w:tcBorders>
              <w:left w:val="single" w:color="000000" w:sz="6" w:space="0"/>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216" w:line="360" w:lineRule="auto"/>
              <w:ind w:left="108" w:right="52" w:firstLine="1"/>
              <w:textAlignment w:val="auto"/>
              <w:rPr>
                <w:rFonts w:ascii="Times New Roman" w:hAnsi="Times New Roman"/>
                <w:spacing w:val="-5"/>
                <w:sz w:val="22"/>
                <w:szCs w:val="22"/>
              </w:rPr>
            </w:pPr>
            <w:r>
              <w:rPr>
                <w:rFonts w:ascii="Times New Roman" w:hAnsi="Times New Roman"/>
                <w:spacing w:val="-5"/>
                <w:sz w:val="22"/>
                <w:szCs w:val="22"/>
              </w:rPr>
              <w:t>立项程序规范性</w:t>
            </w:r>
          </w:p>
        </w:tc>
        <w:tc>
          <w:tcPr>
            <w:tcW w:w="2865"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216" w:line="360" w:lineRule="auto"/>
              <w:ind w:left="108" w:right="52" w:firstLine="1"/>
              <w:textAlignment w:val="auto"/>
              <w:rPr>
                <w:rFonts w:ascii="Times New Roman" w:hAnsi="Times New Roman"/>
                <w:sz w:val="22"/>
                <w:szCs w:val="22"/>
              </w:rPr>
            </w:pPr>
            <w:r>
              <w:rPr>
                <w:rFonts w:ascii="Times New Roman" w:hAnsi="Times New Roman"/>
                <w:spacing w:val="-5"/>
                <w:sz w:val="22"/>
                <w:szCs w:val="22"/>
              </w:rPr>
              <w:t>项目申请、设立过程是否符合相关要求，</w:t>
            </w:r>
            <w:r>
              <w:rPr>
                <w:rFonts w:ascii="Times New Roman" w:hAnsi="Times New Roman"/>
                <w:spacing w:val="-3"/>
                <w:sz w:val="22"/>
                <w:szCs w:val="22"/>
              </w:rPr>
              <w:t>用以反映和考核项目立项的规范情况</w:t>
            </w:r>
          </w:p>
        </w:tc>
        <w:tc>
          <w:tcPr>
            <w:tcW w:w="3939"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53" w:line="360" w:lineRule="auto"/>
              <w:ind w:left="109" w:right="37"/>
              <w:jc w:val="both"/>
              <w:textAlignment w:val="auto"/>
              <w:rPr>
                <w:rFonts w:ascii="Times New Roman" w:hAnsi="Times New Roman"/>
                <w:spacing w:val="-8"/>
                <w:sz w:val="22"/>
                <w:szCs w:val="22"/>
              </w:rPr>
            </w:pPr>
            <w:r>
              <w:rPr>
                <w:rFonts w:ascii="Times New Roman" w:hAnsi="Times New Roman"/>
                <w:spacing w:val="-8"/>
                <w:sz w:val="22"/>
                <w:szCs w:val="22"/>
              </w:rPr>
              <w:t>按照规定的程序申请设立（0.5分），审批文件、材料符合相关要求（0.5分），事前经过必要的可研、专家论证、绩效评估、集体决策（1分）</w:t>
            </w:r>
          </w:p>
        </w:tc>
        <w:tc>
          <w:tcPr>
            <w:tcW w:w="634" w:type="dxa"/>
            <w:tcBorders>
              <w:bottom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sz w:val="22"/>
                <w:szCs w:val="22"/>
              </w:rPr>
            </w:pPr>
          </w:p>
          <w:p>
            <w:pPr>
              <w:pStyle w:val="32"/>
              <w:keepNext w:val="0"/>
              <w:keepLines w:val="0"/>
              <w:pageBreakBefore w:val="0"/>
              <w:widowControl w:val="0"/>
              <w:kinsoku/>
              <w:wordWrap/>
              <w:overflowPunct/>
              <w:topLinePunct w:val="0"/>
              <w:autoSpaceDE/>
              <w:autoSpaceDN/>
              <w:bidi w:val="0"/>
              <w:adjustRightInd/>
              <w:snapToGrid/>
              <w:spacing w:before="65" w:line="360" w:lineRule="auto"/>
              <w:ind w:left="318"/>
              <w:textAlignment w:val="auto"/>
              <w:rPr>
                <w:rFonts w:ascii="Times New Roman" w:hAnsi="Times New Roman"/>
                <w:sz w:val="22"/>
                <w:szCs w:val="22"/>
              </w:rPr>
            </w:pPr>
            <w:r>
              <w:rPr>
                <w:rFonts w:ascii="Times New Roman" w:hAnsi="Times New Roman"/>
                <w:sz w:val="22"/>
                <w:szCs w:val="22"/>
              </w:rPr>
              <w:t>2</w:t>
            </w:r>
          </w:p>
        </w:tc>
        <w:tc>
          <w:tcPr>
            <w:tcW w:w="713" w:type="dxa"/>
            <w:tcBorders>
              <w:bottom w:val="single" w:color="000000" w:sz="6" w:space="0"/>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sz w:val="22"/>
                <w:szCs w:val="22"/>
              </w:rPr>
            </w:pPr>
          </w:p>
          <w:p>
            <w:pPr>
              <w:pStyle w:val="32"/>
              <w:keepNext w:val="0"/>
              <w:keepLines w:val="0"/>
              <w:pageBreakBefore w:val="0"/>
              <w:widowControl w:val="0"/>
              <w:kinsoku/>
              <w:wordWrap/>
              <w:overflowPunct/>
              <w:topLinePunct w:val="0"/>
              <w:autoSpaceDE/>
              <w:autoSpaceDN/>
              <w:bidi w:val="0"/>
              <w:adjustRightInd/>
              <w:snapToGrid/>
              <w:spacing w:before="65" w:line="360" w:lineRule="auto"/>
              <w:ind w:left="320"/>
              <w:textAlignment w:val="auto"/>
              <w:rPr>
                <w:rFonts w:ascii="Times New Roman" w:hAnsi="Times New Roman"/>
                <w:sz w:val="22"/>
                <w:szCs w:val="22"/>
              </w:rPr>
            </w:pPr>
            <w:r>
              <w:rPr>
                <w:rFonts w:ascii="Times New Roman" w:hAnsi="Times New Roman"/>
                <w:sz w:val="22"/>
                <w:szCs w:val="22"/>
              </w:rPr>
              <w:t>2</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val="0"/>
          <w:bCs w:val="0"/>
          <w:sz w:val="32"/>
          <w:szCs w:val="32"/>
          <w:highlight w:val="none"/>
          <w:lang w:val="zh-CN" w:eastAsia="zh-CN"/>
        </w:rPr>
      </w:pPr>
      <w:r>
        <w:rPr>
          <w:rFonts w:hint="eastAsia" w:ascii="Times New Roman" w:hAnsi="Times New Roman" w:eastAsia="方正仿宋_GB2312" w:cs="仿宋"/>
          <w:b w:val="0"/>
          <w:bCs w:val="0"/>
          <w:sz w:val="32"/>
          <w:szCs w:val="32"/>
          <w:highlight w:val="none"/>
          <w:lang w:val="en-US" w:eastAsia="zh-CN"/>
        </w:rPr>
        <w:t>实践杂志社深入开展党的创新理论宣传阐释，全力完成好首要政治任务和最重要的政治责任。《实践》蒙文版坚持以习近平新时代中国特色社会主义思想为指导，认真贯彻中央和自治区党委决策部署，牢牢把握统一思想、凝聚力量这个中心环节，坚持正确政治方向、围绕中心服务大局，自觉承担起举旗帜、聚民心、育新人、兴文化、展形象的使命任务，坚持稳中求进、守正创新。突出党刊宣传解读阐释功能，准确把握不同阶段重大主题宣传要求，及时开设专题专栏，推动习近平新时代中国特色社会主义思想深入人心。</w:t>
      </w:r>
      <w:r>
        <w:rPr>
          <w:rFonts w:hint="eastAsia" w:ascii="Times New Roman" w:hAnsi="Times New Roman" w:eastAsia="方正仿宋_GB2312" w:cs="仿宋"/>
          <w:b w:val="0"/>
          <w:bCs w:val="0"/>
          <w:sz w:val="32"/>
          <w:szCs w:val="32"/>
          <w:highlight w:val="none"/>
          <w:lang w:val="zh-CN" w:eastAsia="zh-CN"/>
        </w:rPr>
        <w:t>实践杂志社</w:t>
      </w:r>
      <w:r>
        <w:rPr>
          <w:rFonts w:hint="eastAsia" w:ascii="Times New Roman" w:hAnsi="Times New Roman" w:eastAsia="方正仿宋_GB2312" w:cs="仿宋"/>
          <w:b w:val="0"/>
          <w:bCs w:val="0"/>
          <w:sz w:val="32"/>
          <w:szCs w:val="32"/>
          <w:highlight w:val="none"/>
          <w:lang w:val="en-US" w:eastAsia="zh-CN"/>
        </w:rPr>
        <w:t>根据每年的部门预算申请</w:t>
      </w:r>
      <w:r>
        <w:rPr>
          <w:rFonts w:hint="eastAsia" w:ascii="Times New Roman" w:hAnsi="Times New Roman" w:eastAsia="方正仿宋_GB2312" w:cs="仿宋"/>
          <w:b w:val="0"/>
          <w:bCs w:val="0"/>
          <w:sz w:val="32"/>
          <w:szCs w:val="32"/>
          <w:highlight w:val="none"/>
          <w:lang w:val="zh-CN" w:eastAsia="zh-CN"/>
        </w:rPr>
        <w:t>财政</w:t>
      </w:r>
      <w:bookmarkStart w:id="141" w:name="bookmark33"/>
      <w:bookmarkEnd w:id="141"/>
      <w:r>
        <w:rPr>
          <w:rFonts w:hint="eastAsia" w:ascii="Times New Roman" w:hAnsi="Times New Roman" w:eastAsia="方正仿宋_GB2312" w:cs="仿宋"/>
          <w:b w:val="0"/>
          <w:bCs w:val="0"/>
          <w:sz w:val="32"/>
          <w:szCs w:val="32"/>
          <w:highlight w:val="none"/>
          <w:lang w:val="zh-CN" w:eastAsia="zh-CN"/>
        </w:rPr>
        <w:t>予以</w:t>
      </w:r>
      <w:r>
        <w:rPr>
          <w:rFonts w:hint="eastAsia" w:ascii="Times New Roman" w:hAnsi="Times New Roman" w:eastAsia="方正仿宋_GB2312" w:cs="仿宋"/>
          <w:b w:val="0"/>
          <w:bCs w:val="0"/>
          <w:sz w:val="32"/>
          <w:szCs w:val="32"/>
          <w:highlight w:val="none"/>
          <w:lang w:val="en-US" w:eastAsia="zh-CN"/>
        </w:rPr>
        <w:t>补助</w:t>
      </w:r>
      <w:r>
        <w:rPr>
          <w:rFonts w:hint="eastAsia" w:ascii="Times New Roman" w:hAnsi="Times New Roman" w:eastAsia="方正仿宋_GB2312" w:cs="仿宋"/>
          <w:b w:val="0"/>
          <w:bCs w:val="0"/>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eastAsia"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val="0"/>
          <w:bCs w:val="0"/>
          <w:sz w:val="32"/>
          <w:szCs w:val="32"/>
          <w:highlight w:val="none"/>
          <w:lang w:val="zh-CN" w:eastAsia="zh-CN"/>
        </w:rPr>
      </w:pPr>
      <w:r>
        <w:rPr>
          <w:rFonts w:hint="eastAsia" w:ascii="Times New Roman" w:hAnsi="Times New Roman" w:eastAsia="方正仿宋_GB2312" w:cs="仿宋"/>
          <w:b w:val="0"/>
          <w:bCs w:val="0"/>
          <w:sz w:val="32"/>
          <w:szCs w:val="32"/>
          <w:highlight w:val="none"/>
          <w:lang w:val="en-US" w:eastAsia="zh-CN"/>
        </w:rPr>
        <w:t>综上，项目立项环节部分达到项目预期管控目标。</w:t>
      </w:r>
    </w:p>
    <w:p>
      <w:pPr>
        <w:keepNext w:val="0"/>
        <w:keepLines w:val="0"/>
        <w:pageBreakBefore w:val="0"/>
        <w:kinsoku/>
        <w:wordWrap/>
        <w:overflowPunct/>
        <w:topLinePunct w:val="0"/>
        <w:bidi w:val="0"/>
        <w:adjustRightInd/>
        <w:snapToGrid/>
        <w:spacing w:line="600" w:lineRule="exact"/>
        <w:ind w:left="0" w:leftChars="0" w:right="0" w:firstLine="642" w:firstLineChars="200"/>
        <w:jc w:val="both"/>
        <w:textAlignment w:val="auto"/>
        <w:outlineLvl w:val="2"/>
        <w:rPr>
          <w:rFonts w:hint="default" w:ascii="Times New Roman" w:hAnsi="Times New Roman" w:eastAsia="方正仿宋_GB2312" w:cs="仿宋"/>
          <w:b/>
          <w:sz w:val="32"/>
          <w:szCs w:val="32"/>
          <w:highlight w:val="none"/>
          <w:lang w:val="en-US" w:eastAsia="zh-CN"/>
        </w:rPr>
      </w:pPr>
      <w:bookmarkStart w:id="142" w:name="_Toc19743"/>
      <w:bookmarkStart w:id="143" w:name="_Toc20886"/>
      <w:bookmarkStart w:id="144" w:name="_Toc21042"/>
      <w:bookmarkStart w:id="145" w:name="_Toc1239"/>
      <w:bookmarkStart w:id="146" w:name="_Toc6729"/>
      <w:bookmarkStart w:id="147" w:name="_Toc32732"/>
      <w:bookmarkStart w:id="148" w:name="_Toc7568"/>
      <w:bookmarkStart w:id="149" w:name="_Toc16246"/>
      <w:bookmarkStart w:id="150" w:name="_Toc795"/>
      <w:bookmarkStart w:id="151" w:name="_Toc22317"/>
      <w:r>
        <w:rPr>
          <w:rFonts w:hint="eastAsia" w:ascii="Times New Roman" w:hAnsi="Times New Roman" w:eastAsia="方正仿宋_GB2312" w:cs="仿宋"/>
          <w:b/>
          <w:sz w:val="32"/>
          <w:szCs w:val="32"/>
          <w:highlight w:val="none"/>
          <w:lang w:val="en-US" w:eastAsia="zh-CN"/>
        </w:rPr>
        <w:t>2</w:t>
      </w:r>
      <w:r>
        <w:rPr>
          <w:rFonts w:hint="eastAsia" w:ascii="Times New Roman" w:hAnsi="Times New Roman" w:eastAsia="方正仿宋_GB2312" w:cs="仿宋"/>
          <w:b/>
          <w:sz w:val="32"/>
          <w:szCs w:val="32"/>
          <w:highlight w:val="none"/>
          <w:lang w:val="zh-CN"/>
        </w:rPr>
        <w:t>.</w:t>
      </w:r>
      <w:r>
        <w:rPr>
          <w:rFonts w:hint="eastAsia" w:ascii="Times New Roman" w:hAnsi="Times New Roman" w:eastAsia="方正仿宋_GB2312" w:cs="仿宋"/>
          <w:b/>
          <w:sz w:val="32"/>
          <w:szCs w:val="32"/>
          <w:highlight w:val="none"/>
          <w:lang w:val="en-US" w:eastAsia="zh-CN"/>
        </w:rPr>
        <w:t>绩效目标</w:t>
      </w:r>
      <w:bookmarkEnd w:id="142"/>
      <w:bookmarkEnd w:id="143"/>
      <w:bookmarkEnd w:id="144"/>
      <w:bookmarkEnd w:id="145"/>
      <w:bookmarkEnd w:id="146"/>
      <w:bookmarkEnd w:id="147"/>
      <w:bookmarkEnd w:id="148"/>
      <w:bookmarkEnd w:id="149"/>
      <w:bookmarkEnd w:id="150"/>
      <w:bookmarkEnd w:id="151"/>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72"/>
        <w:gridCol w:w="2773"/>
        <w:gridCol w:w="3677"/>
        <w:gridCol w:w="673"/>
        <w:gridCol w:w="6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05" w:type="pct"/>
            <w:tcBorders>
              <w:top w:val="single" w:color="000000" w:sz="6" w:space="0"/>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三级指标</w:t>
            </w:r>
          </w:p>
        </w:tc>
        <w:tc>
          <w:tcPr>
            <w:tcW w:w="1565" w:type="pct"/>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指标解释</w:t>
            </w:r>
          </w:p>
        </w:tc>
        <w:tc>
          <w:tcPr>
            <w:tcW w:w="2075" w:type="pct"/>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评价标准</w:t>
            </w:r>
          </w:p>
        </w:tc>
        <w:tc>
          <w:tcPr>
            <w:tcW w:w="380" w:type="pct"/>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分值</w:t>
            </w:r>
          </w:p>
        </w:tc>
        <w:tc>
          <w:tcPr>
            <w:tcW w:w="373" w:type="pct"/>
            <w:tcBorders>
              <w:top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5" w:hRule="atLeast"/>
        </w:trPr>
        <w:tc>
          <w:tcPr>
            <w:tcW w:w="605" w:type="pct"/>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绩效目标合理性</w:t>
            </w:r>
          </w:p>
        </w:tc>
        <w:tc>
          <w:tcPr>
            <w:tcW w:w="1565" w:type="pct"/>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项目所设定的绩效目标是否依据充分，是否符合客观实际，用以反映和考核项目绩效目标与项目实施的相符情况</w:t>
            </w:r>
          </w:p>
        </w:tc>
        <w:tc>
          <w:tcPr>
            <w:tcW w:w="2075" w:type="pct"/>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有绩效目标（0.5分），绩效目标与实际工作内容具有相关性（0.5分），预期产出效益和效果符合正常的业绩水平（0.5分），与预算确定的资金规模相匹配（0.5分）</w:t>
            </w:r>
          </w:p>
        </w:tc>
        <w:tc>
          <w:tcPr>
            <w:tcW w:w="380" w:type="pct"/>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c>
          <w:tcPr>
            <w:tcW w:w="373" w:type="pct"/>
            <w:tcBorders>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9" w:hRule="atLeast"/>
        </w:trPr>
        <w:tc>
          <w:tcPr>
            <w:tcW w:w="605" w:type="pct"/>
            <w:tcBorders>
              <w:left w:val="single" w:color="000000" w:sz="6" w:space="0"/>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绩效指标明确性</w:t>
            </w:r>
          </w:p>
        </w:tc>
        <w:tc>
          <w:tcPr>
            <w:tcW w:w="1565" w:type="pct"/>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依据绩效目标设定的绩效指标是否清晰、细化、可衡量等，用以反映和考核项目绩效目标的细化情况</w:t>
            </w:r>
          </w:p>
        </w:tc>
        <w:tc>
          <w:tcPr>
            <w:tcW w:w="2075" w:type="pct"/>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有明确的项目目标任务数或计划数（0.5分），绩效目标细化分解为具体的绩效指标（0.5分），通过清晰、可衡量的指标值予以体现（0.5分），绩效指标值与项目目标</w:t>
            </w:r>
          </w:p>
        </w:tc>
        <w:tc>
          <w:tcPr>
            <w:tcW w:w="380" w:type="pct"/>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c>
          <w:tcPr>
            <w:tcW w:w="373" w:type="pct"/>
            <w:tcBorders>
              <w:bottom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本项目在立项申请和预算申报时均编制了明确的绩效目标，并结合项目工作计划对绩效目标进行了细化、量化，能较好地匹配项目目标任务。通过努力，使《实践》蒙文版的各项工</w:t>
      </w:r>
      <w:bookmarkStart w:id="152" w:name="bookmark34"/>
      <w:bookmarkEnd w:id="152"/>
      <w:r>
        <w:rPr>
          <w:rFonts w:hint="eastAsia" w:ascii="Times New Roman" w:hAnsi="Times New Roman" w:eastAsia="方正仿宋_GB2312" w:cs="仿宋"/>
          <w:sz w:val="32"/>
          <w:szCs w:val="32"/>
          <w:highlight w:val="none"/>
          <w:lang w:val="en-US" w:eastAsia="zh-CN"/>
        </w:rPr>
        <w:t>作得到扎实有序推进。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val="0"/>
          <w:bCs w:val="0"/>
          <w:sz w:val="32"/>
          <w:szCs w:val="32"/>
          <w:highlight w:val="none"/>
          <w:lang w:val="en-US" w:eastAsia="zh-CN"/>
        </w:rPr>
      </w:pPr>
      <w:r>
        <w:rPr>
          <w:rFonts w:hint="eastAsia" w:ascii="Times New Roman" w:hAnsi="Times New Roman" w:eastAsia="方正仿宋_GB2312" w:cs="仿宋"/>
          <w:sz w:val="32"/>
          <w:szCs w:val="32"/>
          <w:highlight w:val="none"/>
          <w:lang w:val="en-US" w:eastAsia="zh-CN"/>
        </w:rPr>
        <w:t>综上，绩效目标环</w:t>
      </w:r>
      <w:r>
        <w:rPr>
          <w:rFonts w:hint="eastAsia" w:ascii="Times New Roman" w:hAnsi="Times New Roman" w:eastAsia="方正仿宋_GB2312" w:cs="仿宋"/>
          <w:color w:val="auto"/>
          <w:sz w:val="32"/>
          <w:szCs w:val="32"/>
          <w:highlight w:val="none"/>
          <w:lang w:val="en-US" w:eastAsia="zh-CN"/>
        </w:rPr>
        <w:t>节部分达到项目预期管控目标。</w:t>
      </w:r>
    </w:p>
    <w:p>
      <w:pPr>
        <w:keepNext w:val="0"/>
        <w:keepLines w:val="0"/>
        <w:pageBreakBefore w:val="0"/>
        <w:widowControl w:val="0"/>
        <w:numPr>
          <w:ilvl w:val="0"/>
          <w:numId w:val="0"/>
        </w:numPr>
        <w:kinsoku/>
        <w:wordWrap/>
        <w:overflowPunct/>
        <w:topLinePunct w:val="0"/>
        <w:bidi w:val="0"/>
        <w:adjustRightInd/>
        <w:snapToGrid/>
        <w:spacing w:line="600" w:lineRule="exact"/>
        <w:ind w:left="0" w:leftChars="0" w:right="0" w:rightChars="0" w:firstLine="642" w:firstLineChars="200"/>
        <w:jc w:val="both"/>
        <w:textAlignment w:val="auto"/>
        <w:outlineLvl w:val="2"/>
        <w:rPr>
          <w:rFonts w:hint="eastAsia" w:ascii="Times New Roman" w:hAnsi="Times New Roman" w:eastAsia="方正仿宋_GB2312" w:cs="仿宋"/>
          <w:b/>
          <w:sz w:val="32"/>
          <w:szCs w:val="32"/>
          <w:highlight w:val="none"/>
          <w:lang w:val="en-US" w:eastAsia="zh-CN"/>
        </w:rPr>
      </w:pPr>
      <w:bookmarkStart w:id="153" w:name="_Toc1438"/>
      <w:bookmarkStart w:id="154" w:name="_Toc23677"/>
      <w:bookmarkStart w:id="155" w:name="_Toc7721"/>
      <w:bookmarkStart w:id="156" w:name="_Toc3562"/>
      <w:bookmarkStart w:id="157" w:name="_Toc27870"/>
      <w:bookmarkStart w:id="158" w:name="_Toc30781"/>
      <w:bookmarkStart w:id="159" w:name="_Toc28363"/>
      <w:bookmarkStart w:id="160" w:name="_Toc23335"/>
      <w:bookmarkStart w:id="161" w:name="_Toc11547"/>
      <w:bookmarkStart w:id="162" w:name="_Toc16055"/>
      <w:r>
        <w:rPr>
          <w:rFonts w:hint="eastAsia" w:ascii="Times New Roman" w:hAnsi="Times New Roman" w:eastAsia="方正仿宋_GB2312" w:cs="仿宋"/>
          <w:b/>
          <w:sz w:val="32"/>
          <w:szCs w:val="32"/>
          <w:lang w:val="en-US" w:eastAsia="zh-CN" w:bidi="zh-CN"/>
        </w:rPr>
        <w:t>3.</w:t>
      </w:r>
      <w:r>
        <w:rPr>
          <w:rFonts w:hint="eastAsia" w:ascii="Times New Roman" w:hAnsi="Times New Roman" w:eastAsia="方正仿宋_GB2312" w:cs="仿宋"/>
          <w:b/>
          <w:sz w:val="32"/>
          <w:szCs w:val="32"/>
          <w:highlight w:val="none"/>
          <w:lang w:val="en-US" w:eastAsia="zh-CN"/>
        </w:rPr>
        <w:t>资金投入</w:t>
      </w:r>
      <w:bookmarkEnd w:id="153"/>
      <w:bookmarkEnd w:id="154"/>
      <w:bookmarkEnd w:id="155"/>
      <w:bookmarkEnd w:id="156"/>
      <w:bookmarkEnd w:id="157"/>
      <w:bookmarkEnd w:id="158"/>
      <w:bookmarkEnd w:id="159"/>
      <w:bookmarkEnd w:id="160"/>
      <w:bookmarkEnd w:id="161"/>
      <w:bookmarkEnd w:id="162"/>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pPr w:leftFromText="180" w:rightFromText="180" w:vertAnchor="text" w:horzAnchor="page" w:tblpX="1860" w:tblpY="523"/>
        <w:tblOverlap w:val="never"/>
        <w:tblW w:w="86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9"/>
        <w:gridCol w:w="2842"/>
        <w:gridCol w:w="3215"/>
        <w:gridCol w:w="826"/>
        <w:gridCol w:w="6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109" w:type="dxa"/>
            <w:tcBorders>
              <w:top w:val="single" w:color="000000" w:sz="6" w:space="0"/>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三级指标</w:t>
            </w:r>
          </w:p>
        </w:tc>
        <w:tc>
          <w:tcPr>
            <w:tcW w:w="2842"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指标解释</w:t>
            </w:r>
          </w:p>
        </w:tc>
        <w:tc>
          <w:tcPr>
            <w:tcW w:w="3215"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评价标准</w:t>
            </w:r>
          </w:p>
        </w:tc>
        <w:tc>
          <w:tcPr>
            <w:tcW w:w="826"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分值</w:t>
            </w:r>
          </w:p>
        </w:tc>
        <w:tc>
          <w:tcPr>
            <w:tcW w:w="680" w:type="dxa"/>
            <w:tcBorders>
              <w:top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109" w:type="dxa"/>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预算编制科学性</w:t>
            </w:r>
          </w:p>
        </w:tc>
        <w:tc>
          <w:tcPr>
            <w:tcW w:w="2842"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项目预算编制是否经过科学论证、有明确标准，资金额度与年度目标是否相适应，用以反映和考核项目预算编制的科学性、合理性等情况</w:t>
            </w:r>
          </w:p>
        </w:tc>
        <w:tc>
          <w:tcPr>
            <w:tcW w:w="3215"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预算编制经过科学论证（0.5分），预算内容与项目内容相匹配（0.5分），预算额度测算依据充分、按照标准编制（0.5分），预算确定的项目资金规模与工作任务相匹配（0.5分）</w:t>
            </w:r>
          </w:p>
        </w:tc>
        <w:tc>
          <w:tcPr>
            <w:tcW w:w="826"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c>
          <w:tcPr>
            <w:tcW w:w="680" w:type="dxa"/>
            <w:tcBorders>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1" w:hRule="atLeast"/>
        </w:trPr>
        <w:tc>
          <w:tcPr>
            <w:tcW w:w="1109" w:type="dxa"/>
            <w:tcBorders>
              <w:left w:val="single" w:color="000000" w:sz="6" w:space="0"/>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资金分配</w:t>
            </w: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合理性</w:t>
            </w:r>
          </w:p>
        </w:tc>
        <w:tc>
          <w:tcPr>
            <w:tcW w:w="2842"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项目预算资金分配是否有测算依据，与项目单位或地方实际是否相适应，用以反映和考核项目预算资金分配的科学性、合理性等情况</w:t>
            </w:r>
          </w:p>
        </w:tc>
        <w:tc>
          <w:tcPr>
            <w:tcW w:w="3215"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预算资金分配依据充分、明确（1分），资金分配额度合理、与项目单位或地方实际相适应（1分）</w:t>
            </w:r>
          </w:p>
        </w:tc>
        <w:tc>
          <w:tcPr>
            <w:tcW w:w="826"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c>
          <w:tcPr>
            <w:tcW w:w="680" w:type="dxa"/>
            <w:tcBorders>
              <w:bottom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textAlignment w:val="auto"/>
        <w:rPr>
          <w:rFonts w:hint="eastAsia"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在部门预算申报中，对本项目的实施内容进行了详细的测算与预算编制。自治区财政厅于2025年初批复并下达部门预算，进一步明确为刊物编辑人员工资、印刷费等使用范围及对应支出限额。</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color w:val="auto"/>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val="0"/>
          <w:bCs w:val="0"/>
          <w:color w:val="auto"/>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综上，资金投入环节部分达到项目预期管控目标。</w:t>
      </w:r>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rPr>
          <w:rFonts w:hint="eastAsia" w:ascii="Times New Roman" w:hAnsi="Times New Roman" w:eastAsia="方正仿宋_GB2312" w:cs="仿宋"/>
          <w:sz w:val="32"/>
          <w:szCs w:val="32"/>
          <w:highlight w:val="none"/>
          <w:lang w:val="en-US"/>
        </w:rPr>
      </w:pPr>
      <w:bookmarkStart w:id="163" w:name="_Toc6519"/>
      <w:bookmarkStart w:id="164" w:name="_Toc11542"/>
      <w:r>
        <w:rPr>
          <w:rFonts w:hint="eastAsia" w:ascii="Times New Roman" w:hAnsi="Times New Roman" w:eastAsia="方正仿宋_GB2312" w:cs="仿宋"/>
          <w:sz w:val="32"/>
          <w:szCs w:val="32"/>
          <w:highlight w:val="none"/>
          <w:lang w:val="en-US"/>
        </w:rPr>
        <w:t>（</w:t>
      </w:r>
      <w:r>
        <w:rPr>
          <w:rFonts w:hint="eastAsia" w:ascii="Times New Roman" w:hAnsi="Times New Roman" w:eastAsia="方正仿宋_GB2312" w:cs="仿宋"/>
          <w:sz w:val="32"/>
          <w:szCs w:val="32"/>
          <w:highlight w:val="none"/>
          <w:lang w:val="en-US" w:eastAsia="zh-CN"/>
        </w:rPr>
        <w:t>二</w:t>
      </w:r>
      <w:r>
        <w:rPr>
          <w:rFonts w:hint="eastAsia" w:ascii="Times New Roman" w:hAnsi="Times New Roman" w:eastAsia="方正仿宋_GB2312" w:cs="仿宋"/>
          <w:sz w:val="32"/>
          <w:szCs w:val="32"/>
          <w:highlight w:val="none"/>
          <w:lang w:val="en-US"/>
        </w:rPr>
        <w:t>）项目</w:t>
      </w:r>
      <w:r>
        <w:rPr>
          <w:rFonts w:hint="eastAsia" w:ascii="Times New Roman" w:hAnsi="Times New Roman" w:eastAsia="方正仿宋_GB2312" w:cs="仿宋"/>
          <w:sz w:val="32"/>
          <w:szCs w:val="32"/>
          <w:highlight w:val="none"/>
          <w:lang w:val="en-US" w:eastAsia="zh-CN"/>
        </w:rPr>
        <w:t>过程</w:t>
      </w:r>
      <w:r>
        <w:rPr>
          <w:rFonts w:hint="eastAsia" w:ascii="Times New Roman" w:hAnsi="Times New Roman" w:eastAsia="方正仿宋_GB2312" w:cs="仿宋"/>
          <w:sz w:val="32"/>
          <w:szCs w:val="32"/>
          <w:highlight w:val="none"/>
          <w:lang w:val="en-US"/>
        </w:rPr>
        <w:t>情况</w:t>
      </w:r>
      <w:bookmarkEnd w:id="163"/>
      <w:bookmarkEnd w:id="164"/>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textAlignment w:val="auto"/>
        <w:outlineLvl w:val="2"/>
        <w:rPr>
          <w:rFonts w:hint="default" w:ascii="Times New Roman" w:hAnsi="Times New Roman" w:eastAsia="方正仿宋_GB2312" w:cs="仿宋"/>
          <w:b/>
          <w:sz w:val="32"/>
          <w:szCs w:val="32"/>
          <w:highlight w:val="none"/>
          <w:lang w:val="en-US" w:eastAsia="zh-CN"/>
        </w:rPr>
      </w:pPr>
      <w:bookmarkStart w:id="165" w:name="_Toc23417"/>
      <w:bookmarkStart w:id="166" w:name="_Toc18693"/>
      <w:bookmarkStart w:id="167" w:name="_Toc21054"/>
      <w:bookmarkStart w:id="168" w:name="_Toc10263"/>
      <w:bookmarkStart w:id="169" w:name="_Toc19994"/>
      <w:bookmarkStart w:id="170" w:name="_Toc27373"/>
      <w:bookmarkStart w:id="171" w:name="_Toc15541"/>
      <w:bookmarkStart w:id="172" w:name="_Toc30700"/>
      <w:bookmarkStart w:id="173" w:name="_Toc25800"/>
      <w:bookmarkStart w:id="174" w:name="_Toc7709"/>
      <w:r>
        <w:rPr>
          <w:rFonts w:hint="eastAsia" w:ascii="Times New Roman" w:hAnsi="Times New Roman" w:eastAsia="方正仿宋_GB2312" w:cs="仿宋"/>
          <w:b/>
          <w:sz w:val="32"/>
          <w:szCs w:val="32"/>
          <w:highlight w:val="none"/>
          <w:lang w:val="zh-CN"/>
        </w:rPr>
        <w:t>1.</w:t>
      </w:r>
      <w:r>
        <w:rPr>
          <w:rFonts w:hint="eastAsia" w:ascii="Times New Roman" w:hAnsi="Times New Roman" w:eastAsia="方正仿宋_GB2312" w:cs="仿宋"/>
          <w:b/>
          <w:sz w:val="32"/>
          <w:szCs w:val="32"/>
          <w:highlight w:val="none"/>
          <w:lang w:val="en-US" w:eastAsia="zh-CN"/>
        </w:rPr>
        <w:t>资金管理</w:t>
      </w:r>
      <w:bookmarkEnd w:id="165"/>
      <w:bookmarkEnd w:id="166"/>
      <w:bookmarkEnd w:id="167"/>
      <w:bookmarkEnd w:id="168"/>
      <w:bookmarkEnd w:id="169"/>
      <w:bookmarkEnd w:id="170"/>
      <w:bookmarkEnd w:id="171"/>
      <w:bookmarkEnd w:id="172"/>
      <w:bookmarkEnd w:id="173"/>
      <w:bookmarkEnd w:id="174"/>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ascii="Times New Roman" w:hAnsi="Times New Roman"/>
          <w:sz w:val="22"/>
          <w:szCs w:val="22"/>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905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5"/>
        <w:gridCol w:w="3316"/>
        <w:gridCol w:w="3010"/>
        <w:gridCol w:w="770"/>
        <w:gridCol w:w="7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1225" w:type="dxa"/>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三级指标</w:t>
            </w:r>
          </w:p>
        </w:tc>
        <w:tc>
          <w:tcPr>
            <w:tcW w:w="3316"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指标解释</w:t>
            </w:r>
          </w:p>
        </w:tc>
        <w:tc>
          <w:tcPr>
            <w:tcW w:w="3010"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评价标准</w:t>
            </w:r>
          </w:p>
        </w:tc>
        <w:tc>
          <w:tcPr>
            <w:tcW w:w="770" w:type="dxa"/>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分值</w:t>
            </w:r>
          </w:p>
        </w:tc>
        <w:tc>
          <w:tcPr>
            <w:tcW w:w="735" w:type="dxa"/>
            <w:tcBorders>
              <w:right w:val="single" w:color="000000" w:sz="6" w:space="0"/>
            </w:tcBorders>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1225" w:type="dxa"/>
            <w:tcBorders>
              <w:left w:val="single" w:color="000000" w:sz="6" w:space="0"/>
            </w:tcBorders>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资金到位率</w:t>
            </w:r>
          </w:p>
        </w:tc>
        <w:tc>
          <w:tcPr>
            <w:tcW w:w="3316" w:type="dxa"/>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实际到位资金与预算资金的比率，用以反映和考核资金落实情况对项目实施的总体保障程度</w:t>
            </w:r>
          </w:p>
        </w:tc>
        <w:tc>
          <w:tcPr>
            <w:tcW w:w="3010" w:type="dxa"/>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根据项目实际到位资金占计划的比重计算得分（4分）</w:t>
            </w:r>
          </w:p>
        </w:tc>
        <w:tc>
          <w:tcPr>
            <w:tcW w:w="770" w:type="dxa"/>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4</w:t>
            </w:r>
          </w:p>
        </w:tc>
        <w:tc>
          <w:tcPr>
            <w:tcW w:w="735" w:type="dxa"/>
            <w:tcBorders>
              <w:right w:val="single" w:color="000000" w:sz="6" w:space="0"/>
            </w:tcBorders>
            <w:shd w:val="clear" w:color="auto" w:fill="auto"/>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1225" w:type="dxa"/>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资金到位率</w:t>
            </w:r>
          </w:p>
        </w:tc>
        <w:tc>
          <w:tcPr>
            <w:tcW w:w="3316"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实际到位资金与预算资金的比率，用以反映和考核资金落实情况对项目实施的总体保障程度</w:t>
            </w:r>
          </w:p>
        </w:tc>
        <w:tc>
          <w:tcPr>
            <w:tcW w:w="3010"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根据项目实际到位资金占计划的比重计算得分（4分）</w:t>
            </w:r>
          </w:p>
        </w:tc>
        <w:tc>
          <w:tcPr>
            <w:tcW w:w="770"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c>
          <w:tcPr>
            <w:tcW w:w="735" w:type="dxa"/>
            <w:tcBorders>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 w:hRule="atLeast"/>
        </w:trPr>
        <w:tc>
          <w:tcPr>
            <w:tcW w:w="1225" w:type="dxa"/>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预算执行率</w:t>
            </w:r>
          </w:p>
        </w:tc>
        <w:tc>
          <w:tcPr>
            <w:tcW w:w="3316"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实际拨付资金与实际到位资金的比率，项目预算资金是否按照计划执行，用以反映或考核项目预算执行情况</w:t>
            </w:r>
          </w:p>
        </w:tc>
        <w:tc>
          <w:tcPr>
            <w:tcW w:w="3010"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根据项目预算执行率的比重计算得分（4分）</w:t>
            </w:r>
          </w:p>
        </w:tc>
        <w:tc>
          <w:tcPr>
            <w:tcW w:w="770"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c>
          <w:tcPr>
            <w:tcW w:w="735" w:type="dxa"/>
            <w:tcBorders>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2" w:hRule="atLeast"/>
        </w:trPr>
        <w:tc>
          <w:tcPr>
            <w:tcW w:w="1225" w:type="dxa"/>
            <w:tcBorders>
              <w:left w:val="single" w:color="000000" w:sz="6" w:space="0"/>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资金使用合规性</w:t>
            </w:r>
          </w:p>
        </w:tc>
        <w:tc>
          <w:tcPr>
            <w:tcW w:w="3316"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项目资金使用是否符合相关的财务管理制度规定，用以反映和考核项目资金的规范运行情况</w:t>
            </w:r>
          </w:p>
        </w:tc>
        <w:tc>
          <w:tcPr>
            <w:tcW w:w="3010"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符合国家财经法规和财务管理制度以及有关专项资金管理办法的规定（1分），资金的拨付有完整的审批程序和手续（1分），符合项目预算批复和合同规定的用途（1分），不存在截留、挤占、挪用、虚列支出等情况（1分）</w:t>
            </w:r>
          </w:p>
        </w:tc>
        <w:tc>
          <w:tcPr>
            <w:tcW w:w="770"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c>
          <w:tcPr>
            <w:tcW w:w="735" w:type="dxa"/>
            <w:tcBorders>
              <w:bottom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sz w:val="32"/>
          <w:szCs w:val="32"/>
          <w:highlight w:val="none"/>
          <w:lang w:val="en-US" w:eastAsia="zh-CN"/>
        </w:rPr>
        <w:t>少数民族刊物业务补助项目评价年度预算资金为</w:t>
      </w:r>
      <w:r>
        <w:rPr>
          <w:rFonts w:hint="eastAsia" w:ascii="Times New Roman" w:hAnsi="Times New Roman" w:eastAsia="方正仿宋_GB2312"/>
          <w:color w:val="auto"/>
          <w:sz w:val="32"/>
          <w:szCs w:val="32"/>
          <w:highlight w:val="none"/>
          <w:lang w:val="en-US" w:eastAsia="zh-CN"/>
        </w:rPr>
        <w:t>101万元</w:t>
      </w:r>
      <w:r>
        <w:rPr>
          <w:rFonts w:hint="eastAsia" w:ascii="Times New Roman" w:hAnsi="Times New Roman" w:eastAsia="方正仿宋_GB2312" w:cs="仿宋"/>
          <w:sz w:val="32"/>
          <w:szCs w:val="32"/>
          <w:highlight w:val="none"/>
          <w:lang w:val="en-US" w:eastAsia="zh-CN"/>
        </w:rPr>
        <w:t>，实际到位资金为</w:t>
      </w:r>
      <w:r>
        <w:rPr>
          <w:rFonts w:hint="eastAsia" w:ascii="Times New Roman" w:hAnsi="Times New Roman" w:eastAsia="方正仿宋_GB2312"/>
          <w:color w:val="auto"/>
          <w:sz w:val="32"/>
          <w:szCs w:val="32"/>
          <w:highlight w:val="none"/>
          <w:lang w:val="en-US" w:eastAsia="zh-CN"/>
        </w:rPr>
        <w:t>101万元</w:t>
      </w:r>
      <w:r>
        <w:rPr>
          <w:rFonts w:hint="eastAsia" w:ascii="Times New Roman" w:hAnsi="Times New Roman" w:eastAsia="方正仿宋_GB2312" w:cs="仿宋"/>
          <w:sz w:val="32"/>
          <w:szCs w:val="32"/>
          <w:highlight w:val="none"/>
          <w:lang w:val="en-US" w:eastAsia="zh-CN"/>
        </w:rPr>
        <w:t>，资金到位率为100%；项目实际支出资金为</w:t>
      </w:r>
      <w:r>
        <w:rPr>
          <w:rFonts w:hint="eastAsia" w:ascii="Times New Roman" w:hAnsi="Times New Roman" w:eastAsia="方正仿宋_GB2312"/>
          <w:color w:val="auto"/>
          <w:sz w:val="32"/>
          <w:szCs w:val="32"/>
          <w:highlight w:val="none"/>
          <w:lang w:val="en-US" w:eastAsia="zh-CN"/>
        </w:rPr>
        <w:t>101万元</w:t>
      </w:r>
      <w:r>
        <w:rPr>
          <w:rFonts w:hint="eastAsia" w:ascii="Times New Roman" w:hAnsi="Times New Roman" w:eastAsia="方正仿宋_GB2312" w:cs="仿宋"/>
          <w:sz w:val="32"/>
          <w:szCs w:val="32"/>
          <w:highlight w:val="none"/>
          <w:lang w:val="en-US" w:eastAsia="zh-CN"/>
        </w:rPr>
        <w:t>，预算执行率为100%。经核查，项目资金使用符合国家财经法规和财务管理制度以及有关资金管理办法的规定；资金的拨付有完整的审批程序和手续；</w:t>
      </w:r>
      <w:r>
        <w:rPr>
          <w:rFonts w:hint="eastAsia" w:ascii="Times New Roman" w:hAnsi="Times New Roman" w:eastAsia="方正仿宋_GB2312" w:cs="仿宋"/>
          <w:color w:val="auto"/>
          <w:sz w:val="32"/>
          <w:szCs w:val="32"/>
          <w:highlight w:val="none"/>
          <w:lang w:val="en-US" w:eastAsia="zh-CN"/>
        </w:rPr>
        <w:t>项目资金使用符合项目预算批复或合同规定的用途。</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综上，资金管</w:t>
      </w:r>
      <w:r>
        <w:rPr>
          <w:rFonts w:hint="eastAsia" w:ascii="Times New Roman" w:hAnsi="Times New Roman" w:eastAsia="方正仿宋_GB2312" w:cs="仿宋"/>
          <w:color w:val="auto"/>
          <w:sz w:val="32"/>
          <w:szCs w:val="32"/>
          <w:highlight w:val="none"/>
          <w:lang w:val="en-US" w:eastAsia="zh-CN"/>
        </w:rPr>
        <w:t>理环节达到了项目预期管控目标。</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outlineLvl w:val="2"/>
        <w:rPr>
          <w:rFonts w:hint="default" w:ascii="Times New Roman" w:hAnsi="Times New Roman" w:eastAsia="方正仿宋_GB2312" w:cs="仿宋"/>
          <w:b/>
          <w:sz w:val="32"/>
          <w:szCs w:val="32"/>
          <w:highlight w:val="none"/>
          <w:lang w:val="en-US" w:eastAsia="zh-CN"/>
        </w:rPr>
      </w:pPr>
      <w:bookmarkStart w:id="175" w:name="_Toc21516"/>
      <w:bookmarkStart w:id="176" w:name="_Toc4612"/>
      <w:bookmarkStart w:id="177" w:name="_Toc10664"/>
      <w:bookmarkStart w:id="178" w:name="_Toc31331"/>
      <w:bookmarkStart w:id="179" w:name="_Toc2236"/>
      <w:bookmarkStart w:id="180" w:name="_Toc2669"/>
      <w:bookmarkStart w:id="181" w:name="_Toc5556"/>
      <w:bookmarkStart w:id="182" w:name="_Toc2051"/>
      <w:bookmarkStart w:id="183" w:name="_Toc18568"/>
      <w:bookmarkStart w:id="184" w:name="_Toc20770"/>
      <w:r>
        <w:rPr>
          <w:rFonts w:hint="eastAsia" w:ascii="Times New Roman" w:hAnsi="Times New Roman" w:eastAsia="方正仿宋_GB2312" w:cs="仿宋"/>
          <w:b/>
          <w:sz w:val="32"/>
          <w:szCs w:val="32"/>
          <w:highlight w:val="none"/>
          <w:lang w:val="en-US" w:eastAsia="zh-CN"/>
        </w:rPr>
        <w:t>2</w:t>
      </w:r>
      <w:r>
        <w:rPr>
          <w:rFonts w:hint="eastAsia" w:ascii="Times New Roman" w:hAnsi="Times New Roman" w:eastAsia="方正仿宋_GB2312" w:cs="仿宋"/>
          <w:b/>
          <w:sz w:val="32"/>
          <w:szCs w:val="32"/>
          <w:highlight w:val="none"/>
          <w:lang w:val="zh-CN"/>
        </w:rPr>
        <w:t>.</w:t>
      </w:r>
      <w:r>
        <w:rPr>
          <w:rFonts w:hint="eastAsia" w:ascii="Times New Roman" w:hAnsi="Times New Roman" w:eastAsia="方正仿宋_GB2312" w:cs="仿宋"/>
          <w:b/>
          <w:sz w:val="32"/>
          <w:szCs w:val="32"/>
          <w:highlight w:val="none"/>
          <w:lang w:val="en-US" w:eastAsia="zh-CN"/>
        </w:rPr>
        <w:t>组织实施</w:t>
      </w:r>
      <w:bookmarkEnd w:id="175"/>
      <w:bookmarkEnd w:id="176"/>
      <w:bookmarkEnd w:id="177"/>
      <w:bookmarkEnd w:id="178"/>
      <w:bookmarkEnd w:id="179"/>
      <w:bookmarkEnd w:id="180"/>
      <w:bookmarkEnd w:id="181"/>
      <w:bookmarkEnd w:id="182"/>
      <w:bookmarkEnd w:id="183"/>
      <w:bookmarkEnd w:id="184"/>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8815"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9"/>
        <w:gridCol w:w="2495"/>
        <w:gridCol w:w="3873"/>
        <w:gridCol w:w="689"/>
        <w:gridCol w:w="7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999" w:type="dxa"/>
            <w:tcBorders>
              <w:top w:val="single" w:color="000000" w:sz="6" w:space="0"/>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三级指标</w:t>
            </w:r>
          </w:p>
        </w:tc>
        <w:tc>
          <w:tcPr>
            <w:tcW w:w="2495"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指标解释</w:t>
            </w:r>
          </w:p>
        </w:tc>
        <w:tc>
          <w:tcPr>
            <w:tcW w:w="3873"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评价标准</w:t>
            </w:r>
          </w:p>
        </w:tc>
        <w:tc>
          <w:tcPr>
            <w:tcW w:w="689" w:type="dxa"/>
            <w:tcBorders>
              <w:top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分值</w:t>
            </w:r>
          </w:p>
        </w:tc>
        <w:tc>
          <w:tcPr>
            <w:tcW w:w="759" w:type="dxa"/>
            <w:tcBorders>
              <w:top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999" w:type="dxa"/>
            <w:tcBorders>
              <w:lef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lang w:val="en-US" w:eastAsia="en-US"/>
              </w:rPr>
              <w:t>管理制度健全性</w:t>
            </w:r>
          </w:p>
        </w:tc>
        <w:tc>
          <w:tcPr>
            <w:tcW w:w="2495"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项目实施单位的财务和业务管理制度是否健全，用以反映和考核财务和业务管理制度对项目顺利实施的保障情况</w:t>
            </w:r>
          </w:p>
        </w:tc>
        <w:tc>
          <w:tcPr>
            <w:tcW w:w="3873"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已制定或具有相应的财务管理制度（1分），财务管理制度合法、合规、完整（1分），已制定或具有相应的业务管理制度（1分），业务管理制度合法、合规、完整（1分）</w:t>
            </w:r>
          </w:p>
        </w:tc>
        <w:tc>
          <w:tcPr>
            <w:tcW w:w="689" w:type="dxa"/>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c>
          <w:tcPr>
            <w:tcW w:w="759" w:type="dxa"/>
            <w:tcBorders>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999" w:type="dxa"/>
            <w:tcBorders>
              <w:left w:val="single" w:color="000000" w:sz="6" w:space="0"/>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lang w:val="en-US" w:eastAsia="en-US"/>
              </w:rPr>
            </w:pPr>
            <w:r>
              <w:rPr>
                <w:rFonts w:ascii="Times New Roman" w:hAnsi="Times New Roman"/>
                <w:spacing w:val="-4"/>
                <w:sz w:val="22"/>
                <w:szCs w:val="22"/>
                <w:lang w:val="en-US" w:eastAsia="en-US"/>
              </w:rPr>
              <w:t>制度执行有效性</w:t>
            </w:r>
          </w:p>
        </w:tc>
        <w:tc>
          <w:tcPr>
            <w:tcW w:w="2495"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项目实施是否符合相关管理规定，用以反映和考核相关管理制度的有效执行情况</w:t>
            </w:r>
          </w:p>
        </w:tc>
        <w:tc>
          <w:tcPr>
            <w:tcW w:w="3873"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遵守相关法律法规和相关管理规定（1分），项目调整及支出调整手续完备（1分），项目合同书、验收报告、技术鉴定等资料齐全并及时归档（1分），项目实施的人员条件、场地设备、信息支撑等落实到位（1分）</w:t>
            </w:r>
          </w:p>
        </w:tc>
        <w:tc>
          <w:tcPr>
            <w:tcW w:w="689" w:type="dxa"/>
            <w:tcBorders>
              <w:bottom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c>
          <w:tcPr>
            <w:tcW w:w="759" w:type="dxa"/>
            <w:tcBorders>
              <w:bottom w:val="single" w:color="000000" w:sz="6" w:space="0"/>
              <w:right w:val="single" w:color="000000" w:sz="6" w:space="0"/>
            </w:tcBorders>
            <w:vAlign w:val="top"/>
          </w:tcPr>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p>
          <w:p>
            <w:pPr>
              <w:pStyle w:val="32"/>
              <w:keepNext w:val="0"/>
              <w:keepLines w:val="0"/>
              <w:pageBreakBefore w:val="0"/>
              <w:widowControl w:val="0"/>
              <w:kinsoku/>
              <w:wordWrap/>
              <w:overflowPunct/>
              <w:topLinePunct w:val="0"/>
              <w:autoSpaceDE/>
              <w:autoSpaceDN/>
              <w:bidi w:val="0"/>
              <w:adjustRightInd/>
              <w:snapToGrid/>
              <w:spacing w:before="102" w:line="360" w:lineRule="auto"/>
              <w:ind w:left="148"/>
              <w:textAlignment w:val="auto"/>
              <w:rPr>
                <w:rFonts w:ascii="Times New Roman" w:hAnsi="Times New Roman"/>
                <w:spacing w:val="-4"/>
                <w:sz w:val="22"/>
                <w:szCs w:val="22"/>
              </w:rPr>
            </w:pPr>
            <w:r>
              <w:rPr>
                <w:rFonts w:ascii="Times New Roman" w:hAnsi="Times New Roman"/>
                <w:spacing w:val="-4"/>
                <w:sz w:val="22"/>
                <w:szCs w:val="22"/>
              </w:rPr>
              <w:t>4</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项目单位已制定《预算管理办法》《财务收支管理办法》《采购管理办法》等相关内部控制管理制度，但未提供项目业务管理制度；内部制度合法、合规，项目制度执行遵守相关法律法规和相关管理规定；项目合同书、实施过程材料、项目总结等资料齐全并及时归档；项目实施的人员条件、场地设备、信息支撑等落实到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eastAsia" w:ascii="Times New Roman" w:hAnsi="Times New Roman" w:eastAsia="方正仿宋_GB2312" w:cs="仿宋"/>
          <w:b w:val="0"/>
          <w:bCs w:val="0"/>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本项的扣分原因为：</w:t>
      </w:r>
      <w:r>
        <w:rPr>
          <w:rFonts w:hint="eastAsia" w:ascii="Times New Roman" w:hAnsi="Times New Roman" w:eastAsia="方正仿宋_GB2312" w:cs="仿宋"/>
          <w:b w:val="0"/>
          <w:bCs w:val="0"/>
          <w:sz w:val="32"/>
          <w:szCs w:val="32"/>
          <w:highlight w:val="none"/>
          <w:lang w:val="en-US" w:eastAsia="zh-CN"/>
        </w:rPr>
        <w:t>项目单位内部管理制度待进一步规范完善，补充相应的业务管理制度。健全管理机制，持续提升业务管理水平</w:t>
      </w:r>
      <w:r>
        <w:rPr>
          <w:rFonts w:hint="eastAsia" w:ascii="Times New Roman" w:hAnsi="Times New Roman" w:eastAsia="方正仿宋_GB2312" w:cs="仿宋"/>
          <w:b w:val="0"/>
          <w:bCs w:val="0"/>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综上，组织实施</w:t>
      </w:r>
      <w:r>
        <w:rPr>
          <w:rFonts w:hint="eastAsia" w:ascii="Times New Roman" w:hAnsi="Times New Roman" w:eastAsia="方正仿宋_GB2312" w:cs="仿宋"/>
          <w:color w:val="auto"/>
          <w:sz w:val="32"/>
          <w:szCs w:val="32"/>
          <w:highlight w:val="none"/>
          <w:lang w:val="en-US" w:eastAsia="zh-CN"/>
        </w:rPr>
        <w:t>环节部分未达到项目预期管控目标，按照评分标准扣除2分</w:t>
      </w:r>
      <w:r>
        <w:rPr>
          <w:rFonts w:hint="eastAsia" w:ascii="Times New Roman" w:hAnsi="Times New Roman" w:eastAsia="方正仿宋_GB2312" w:cs="仿宋"/>
          <w:sz w:val="32"/>
          <w:szCs w:val="32"/>
          <w:highlight w:val="none"/>
          <w:lang w:val="en-US" w:eastAsia="zh-CN"/>
        </w:rPr>
        <w:t>。</w:t>
      </w:r>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rPr>
          <w:rFonts w:hint="eastAsia" w:ascii="Times New Roman" w:hAnsi="Times New Roman" w:eastAsia="方正仿宋_GB2312" w:cs="仿宋"/>
          <w:sz w:val="32"/>
          <w:szCs w:val="32"/>
          <w:highlight w:val="none"/>
          <w:lang w:val="en-US"/>
        </w:rPr>
      </w:pPr>
      <w:bookmarkStart w:id="185" w:name="_Toc30381"/>
      <w:bookmarkStart w:id="186" w:name="_Toc20308"/>
      <w:r>
        <w:rPr>
          <w:rFonts w:hint="eastAsia" w:ascii="Times New Roman" w:hAnsi="Times New Roman" w:eastAsia="方正仿宋_GB2312" w:cs="仿宋"/>
          <w:sz w:val="32"/>
          <w:szCs w:val="32"/>
          <w:highlight w:val="none"/>
          <w:lang w:val="en-US"/>
        </w:rPr>
        <w:t>（</w:t>
      </w:r>
      <w:r>
        <w:rPr>
          <w:rFonts w:hint="eastAsia" w:ascii="Times New Roman" w:hAnsi="Times New Roman" w:eastAsia="方正仿宋_GB2312" w:cs="仿宋"/>
          <w:sz w:val="32"/>
          <w:szCs w:val="32"/>
          <w:highlight w:val="none"/>
          <w:lang w:val="en-US" w:eastAsia="zh-CN"/>
        </w:rPr>
        <w:t>三</w:t>
      </w:r>
      <w:r>
        <w:rPr>
          <w:rFonts w:hint="eastAsia" w:ascii="Times New Roman" w:hAnsi="Times New Roman" w:eastAsia="方正仿宋_GB2312" w:cs="仿宋"/>
          <w:sz w:val="32"/>
          <w:szCs w:val="32"/>
          <w:highlight w:val="none"/>
          <w:lang w:val="en-US"/>
        </w:rPr>
        <w:t>）项目</w:t>
      </w:r>
      <w:r>
        <w:rPr>
          <w:rFonts w:hint="eastAsia" w:ascii="Times New Roman" w:hAnsi="Times New Roman" w:eastAsia="方正仿宋_GB2312" w:cs="仿宋"/>
          <w:sz w:val="32"/>
          <w:szCs w:val="32"/>
          <w:highlight w:val="none"/>
          <w:lang w:val="en-US" w:eastAsia="zh-CN"/>
        </w:rPr>
        <w:t>产出</w:t>
      </w:r>
      <w:bookmarkEnd w:id="185"/>
      <w:bookmarkEnd w:id="186"/>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textAlignment w:val="auto"/>
        <w:outlineLvl w:val="2"/>
        <w:rPr>
          <w:rFonts w:hint="default" w:ascii="Times New Roman" w:hAnsi="Times New Roman" w:eastAsia="方正仿宋_GB2312" w:cs="仿宋"/>
          <w:b/>
          <w:sz w:val="32"/>
          <w:szCs w:val="32"/>
          <w:highlight w:val="none"/>
          <w:lang w:val="en-US" w:eastAsia="zh-CN"/>
        </w:rPr>
      </w:pPr>
      <w:bookmarkStart w:id="187" w:name="_Toc621"/>
      <w:bookmarkStart w:id="188" w:name="_Toc17007"/>
      <w:bookmarkStart w:id="189" w:name="_Toc29578"/>
      <w:bookmarkStart w:id="190" w:name="_Toc17553"/>
      <w:bookmarkStart w:id="191" w:name="_Toc9345"/>
      <w:bookmarkStart w:id="192" w:name="_Toc29356"/>
      <w:bookmarkStart w:id="193" w:name="_Toc15754"/>
      <w:bookmarkStart w:id="194" w:name="_Toc29347"/>
      <w:bookmarkStart w:id="195" w:name="_Toc31282"/>
      <w:bookmarkStart w:id="196" w:name="_Toc1467"/>
      <w:r>
        <w:rPr>
          <w:rFonts w:hint="eastAsia" w:ascii="Times New Roman" w:hAnsi="Times New Roman" w:eastAsia="方正仿宋_GB2312" w:cs="仿宋"/>
          <w:b/>
          <w:sz w:val="32"/>
          <w:szCs w:val="32"/>
          <w:highlight w:val="none"/>
          <w:lang w:val="zh-CN"/>
        </w:rPr>
        <w:t>1.</w:t>
      </w:r>
      <w:r>
        <w:rPr>
          <w:rFonts w:hint="eastAsia" w:ascii="Times New Roman" w:hAnsi="Times New Roman" w:eastAsia="方正仿宋_GB2312" w:cs="仿宋"/>
          <w:b/>
          <w:sz w:val="32"/>
          <w:szCs w:val="32"/>
          <w:highlight w:val="none"/>
          <w:lang w:val="en-US" w:eastAsia="zh-CN"/>
        </w:rPr>
        <w:t>数量指标</w:t>
      </w:r>
      <w:bookmarkEnd w:id="187"/>
      <w:bookmarkEnd w:id="188"/>
      <w:bookmarkEnd w:id="189"/>
      <w:bookmarkEnd w:id="190"/>
      <w:bookmarkEnd w:id="191"/>
      <w:bookmarkEnd w:id="192"/>
      <w:bookmarkEnd w:id="193"/>
      <w:bookmarkEnd w:id="194"/>
      <w:bookmarkEnd w:id="195"/>
      <w:bookmarkEnd w:id="196"/>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8725" w:type="dxa"/>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6"/>
        <w:gridCol w:w="2238"/>
        <w:gridCol w:w="3833"/>
        <w:gridCol w:w="589"/>
        <w:gridCol w:w="5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476" w:type="dxa"/>
            <w:tcBorders>
              <w:top w:val="single" w:color="000000" w:sz="6" w:space="0"/>
              <w:left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sz w:val="22"/>
                <w:szCs w:val="22"/>
              </w:rPr>
            </w:pPr>
            <w:r>
              <w:rPr>
                <w:rFonts w:ascii="Times New Roman" w:hAnsi="Times New Roman"/>
                <w:spacing w:val="-4"/>
                <w:sz w:val="22"/>
                <w:szCs w:val="22"/>
              </w:rPr>
              <w:t>三级指标</w:t>
            </w:r>
          </w:p>
        </w:tc>
        <w:tc>
          <w:tcPr>
            <w:tcW w:w="2238"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ind w:left="1772"/>
              <w:rPr>
                <w:rFonts w:ascii="Times New Roman" w:hAnsi="Times New Roman"/>
                <w:sz w:val="22"/>
                <w:szCs w:val="22"/>
              </w:rPr>
            </w:pPr>
            <w:r>
              <w:rPr>
                <w:rFonts w:ascii="Times New Roman" w:hAnsi="Times New Roman"/>
                <w:spacing w:val="-5"/>
                <w:sz w:val="22"/>
                <w:szCs w:val="22"/>
              </w:rPr>
              <w:t>指标解释</w:t>
            </w:r>
          </w:p>
        </w:tc>
        <w:tc>
          <w:tcPr>
            <w:tcW w:w="3833"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ind w:left="836"/>
              <w:rPr>
                <w:rFonts w:ascii="Times New Roman" w:hAnsi="Times New Roman"/>
                <w:sz w:val="22"/>
                <w:szCs w:val="22"/>
              </w:rPr>
            </w:pPr>
            <w:r>
              <w:rPr>
                <w:rFonts w:ascii="Times New Roman" w:hAnsi="Times New Roman"/>
                <w:spacing w:val="-4"/>
                <w:sz w:val="22"/>
                <w:szCs w:val="22"/>
              </w:rPr>
              <w:t>评价标准</w:t>
            </w:r>
          </w:p>
        </w:tc>
        <w:tc>
          <w:tcPr>
            <w:tcW w:w="589"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ind w:left="128"/>
              <w:rPr>
                <w:rFonts w:ascii="Times New Roman" w:hAnsi="Times New Roman"/>
                <w:sz w:val="22"/>
                <w:szCs w:val="22"/>
              </w:rPr>
            </w:pPr>
            <w:r>
              <w:rPr>
                <w:rFonts w:ascii="Times New Roman" w:hAnsi="Times New Roman"/>
                <w:spacing w:val="-7"/>
                <w:sz w:val="22"/>
                <w:szCs w:val="22"/>
              </w:rPr>
              <w:t>分值</w:t>
            </w:r>
          </w:p>
        </w:tc>
        <w:tc>
          <w:tcPr>
            <w:tcW w:w="589" w:type="dxa"/>
            <w:tcBorders>
              <w:top w:val="single" w:color="000000" w:sz="6" w:space="0"/>
              <w:right w:val="single" w:color="000000" w:sz="6" w:space="0"/>
            </w:tcBorders>
            <w:vAlign w:val="top"/>
          </w:tcPr>
          <w:p>
            <w:pPr>
              <w:pStyle w:val="32"/>
              <w:keepLines w:val="0"/>
              <w:pageBreakBefore w:val="0"/>
              <w:kinsoku/>
              <w:wordWrap/>
              <w:overflowPunct/>
              <w:topLinePunct w:val="0"/>
              <w:bidi w:val="0"/>
              <w:adjustRightInd/>
              <w:spacing w:before="101" w:line="360" w:lineRule="auto"/>
              <w:ind w:left="128"/>
              <w:rPr>
                <w:rFonts w:ascii="Times New Roman" w:hAnsi="Times New Roman"/>
                <w:sz w:val="22"/>
                <w:szCs w:val="22"/>
              </w:rPr>
            </w:pPr>
            <w:r>
              <w:rPr>
                <w:rFonts w:ascii="Times New Roman" w:hAnsi="Times New Roman"/>
                <w:spacing w:val="-6"/>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1476" w:type="dxa"/>
            <w:tcBorders>
              <w:left w:val="single" w:color="000000" w:sz="6" w:space="0"/>
              <w:bottom w:val="nil"/>
            </w:tcBorders>
            <w:vAlign w:val="center"/>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en-US" w:bidi="ar-SA"/>
              </w:rPr>
            </w:pPr>
            <w:r>
              <w:rPr>
                <w:rFonts w:hint="eastAsia" w:ascii="Times New Roman" w:hAnsi="Times New Roman" w:eastAsia="宋体" w:cs="宋体"/>
                <w:spacing w:val="-5"/>
                <w:sz w:val="22"/>
                <w:szCs w:val="22"/>
                <w:lang w:val="en-US" w:eastAsia="zh-CN" w:bidi="ar-SA"/>
              </w:rPr>
              <w:t>发布宣传稿件数量</w:t>
            </w:r>
          </w:p>
        </w:tc>
        <w:tc>
          <w:tcPr>
            <w:tcW w:w="2238" w:type="dxa"/>
            <w:tcBorders>
              <w:bottom w:val="nil"/>
            </w:tcBorders>
            <w:vAlign w:val="top"/>
          </w:tcPr>
          <w:p>
            <w:pPr>
              <w:pStyle w:val="32"/>
              <w:keepLines w:val="0"/>
              <w:pageBreakBefore w:val="0"/>
              <w:kinsoku/>
              <w:wordWrap/>
              <w:overflowPunct/>
              <w:topLinePunct w:val="0"/>
              <w:bidi w:val="0"/>
              <w:adjustRightInd/>
              <w:spacing w:before="53" w:line="360" w:lineRule="auto"/>
              <w:ind w:left="118" w:right="105" w:hanging="8"/>
              <w:rPr>
                <w:rFonts w:ascii="Times New Roman" w:hAnsi="Times New Roman"/>
                <w:sz w:val="22"/>
                <w:szCs w:val="22"/>
              </w:rPr>
            </w:pPr>
            <w:r>
              <w:rPr>
                <w:rFonts w:ascii="Times New Roman" w:hAnsi="Times New Roman"/>
                <w:spacing w:val="6"/>
                <w:sz w:val="22"/>
                <w:szCs w:val="22"/>
              </w:rPr>
              <w:t>反映通过平台的全年发稿量，</w:t>
            </w:r>
            <w:r>
              <w:rPr>
                <w:rFonts w:ascii="Times New Roman" w:hAnsi="Times New Roman"/>
                <w:spacing w:val="5"/>
                <w:sz w:val="22"/>
                <w:szCs w:val="22"/>
              </w:rPr>
              <w:t>指标值设为</w:t>
            </w:r>
            <w:r>
              <w:rPr>
                <w:rFonts w:hint="eastAsia" w:ascii="Times New Roman" w:hAnsi="Times New Roman"/>
                <w:spacing w:val="5"/>
                <w:sz w:val="22"/>
                <w:szCs w:val="22"/>
                <w:lang w:val="en-US" w:eastAsia="zh-CN"/>
              </w:rPr>
              <w:t>=</w:t>
            </w:r>
            <w:r>
              <w:rPr>
                <w:rFonts w:hint="eastAsia" w:ascii="Times New Roman" w:hAnsi="Times New Roman" w:eastAsia="宋体" w:cs="Calibri"/>
                <w:spacing w:val="5"/>
                <w:sz w:val="22"/>
                <w:szCs w:val="22"/>
                <w:lang w:val="en-US" w:eastAsia="zh-CN"/>
              </w:rPr>
              <w:t>200</w:t>
            </w:r>
            <w:r>
              <w:rPr>
                <w:rFonts w:ascii="Times New Roman" w:hAnsi="Times New Roman"/>
                <w:spacing w:val="5"/>
                <w:sz w:val="22"/>
                <w:szCs w:val="22"/>
              </w:rPr>
              <w:t>篇</w:t>
            </w:r>
          </w:p>
        </w:tc>
        <w:tc>
          <w:tcPr>
            <w:tcW w:w="3833" w:type="dxa"/>
            <w:vMerge w:val="restart"/>
            <w:tcBorders>
              <w:bottom w:val="nil"/>
            </w:tcBorders>
            <w:vAlign w:val="top"/>
          </w:tcPr>
          <w:p>
            <w:pPr>
              <w:pStyle w:val="32"/>
              <w:keepLines w:val="0"/>
              <w:pageBreakBefore w:val="0"/>
              <w:kinsoku/>
              <w:wordWrap/>
              <w:overflowPunct/>
              <w:topLinePunct w:val="0"/>
              <w:bidi w:val="0"/>
              <w:adjustRightInd/>
              <w:spacing w:before="53" w:line="360" w:lineRule="auto"/>
              <w:ind w:left="118" w:right="105" w:hanging="8"/>
              <w:rPr>
                <w:rFonts w:ascii="Times New Roman" w:hAnsi="Times New Roman"/>
                <w:spacing w:val="6"/>
                <w:sz w:val="22"/>
                <w:szCs w:val="22"/>
              </w:rPr>
            </w:pPr>
            <w:r>
              <w:rPr>
                <w:rFonts w:ascii="Times New Roman" w:hAnsi="Times New Roman"/>
                <w:spacing w:val="6"/>
                <w:sz w:val="22"/>
                <w:szCs w:val="22"/>
              </w:rPr>
              <w:t>（1）与设定指标值相比，完成指标值的，记该指标所赋全部分值；</w:t>
            </w:r>
          </w:p>
          <w:p>
            <w:pPr>
              <w:pStyle w:val="32"/>
              <w:keepLines w:val="0"/>
              <w:pageBreakBefore w:val="0"/>
              <w:kinsoku/>
              <w:wordWrap/>
              <w:overflowPunct/>
              <w:topLinePunct w:val="0"/>
              <w:bidi w:val="0"/>
              <w:adjustRightInd/>
              <w:spacing w:before="53" w:line="360" w:lineRule="auto"/>
              <w:ind w:left="118" w:right="105" w:hanging="8"/>
              <w:rPr>
                <w:rFonts w:ascii="Times New Roman" w:hAnsi="Times New Roman"/>
                <w:spacing w:val="6"/>
                <w:sz w:val="22"/>
                <w:szCs w:val="22"/>
              </w:rPr>
            </w:pPr>
            <w:r>
              <w:rPr>
                <w:rFonts w:ascii="Times New Roman" w:hAnsi="Times New Roman"/>
                <w:spacing w:val="6"/>
                <w:sz w:val="22"/>
                <w:szCs w:val="22"/>
              </w:rPr>
              <w:t>（2）对完成值高于指标值较多的，若是由于指标值设定明显偏低造成的，按照偏离度适当调减分值；</w:t>
            </w:r>
          </w:p>
          <w:p>
            <w:pPr>
              <w:pStyle w:val="32"/>
              <w:keepLines w:val="0"/>
              <w:pageBreakBefore w:val="0"/>
              <w:kinsoku/>
              <w:wordWrap/>
              <w:overflowPunct/>
              <w:topLinePunct w:val="0"/>
              <w:bidi w:val="0"/>
              <w:adjustRightInd/>
              <w:spacing w:before="53" w:line="360" w:lineRule="auto"/>
              <w:ind w:left="118" w:right="105" w:hanging="8"/>
              <w:rPr>
                <w:rFonts w:ascii="Times New Roman" w:hAnsi="Times New Roman"/>
                <w:sz w:val="22"/>
                <w:szCs w:val="22"/>
              </w:rPr>
            </w:pPr>
            <w:r>
              <w:rPr>
                <w:rFonts w:ascii="Times New Roman" w:hAnsi="Times New Roman"/>
                <w:spacing w:val="6"/>
                <w:sz w:val="22"/>
                <w:szCs w:val="22"/>
              </w:rPr>
              <w:t>（3）未完成指标值的，按照完成值与指标值的比例积分。</w:t>
            </w:r>
          </w:p>
        </w:tc>
        <w:tc>
          <w:tcPr>
            <w:tcW w:w="589" w:type="dxa"/>
            <w:tcBorders>
              <w:bottom w:val="nil"/>
            </w:tcBorders>
            <w:vAlign w:val="top"/>
          </w:tcPr>
          <w:p>
            <w:pPr>
              <w:pStyle w:val="32"/>
              <w:keepLines w:val="0"/>
              <w:pageBreakBefore w:val="0"/>
              <w:kinsoku/>
              <w:wordWrap/>
              <w:overflowPunct/>
              <w:topLinePunct w:val="0"/>
              <w:bidi w:val="0"/>
              <w:adjustRightInd/>
              <w:spacing w:before="93" w:line="360" w:lineRule="auto"/>
              <w:ind w:left="281" w:leftChars="0"/>
              <w:rPr>
                <w:rFonts w:ascii="Times New Roman" w:hAnsi="Times New Roman"/>
                <w:sz w:val="22"/>
                <w:szCs w:val="22"/>
              </w:rPr>
            </w:pPr>
            <w:r>
              <w:rPr>
                <w:rFonts w:ascii="Times New Roman" w:hAnsi="Times New Roman"/>
                <w:sz w:val="22"/>
                <w:szCs w:val="22"/>
              </w:rPr>
              <w:t>5</w:t>
            </w:r>
          </w:p>
        </w:tc>
        <w:tc>
          <w:tcPr>
            <w:tcW w:w="589" w:type="dxa"/>
            <w:tcBorders>
              <w:bottom w:val="nil"/>
              <w:right w:val="single" w:color="000000" w:sz="6" w:space="0"/>
            </w:tcBorders>
            <w:vAlign w:val="top"/>
          </w:tcPr>
          <w:p>
            <w:pPr>
              <w:pStyle w:val="32"/>
              <w:keepLines w:val="0"/>
              <w:pageBreakBefore w:val="0"/>
              <w:kinsoku/>
              <w:wordWrap/>
              <w:overflowPunct/>
              <w:topLinePunct w:val="0"/>
              <w:bidi w:val="0"/>
              <w:adjustRightInd/>
              <w:spacing w:before="93" w:line="360" w:lineRule="auto"/>
              <w:ind w:left="270" w:leftChars="0"/>
              <w:rPr>
                <w:rFonts w:ascii="Times New Roman" w:hAnsi="Times New Roman"/>
                <w:sz w:val="22"/>
                <w:szCs w:val="22"/>
              </w:rPr>
            </w:pPr>
            <w:r>
              <w:rPr>
                <w:rFonts w:ascii="Times New Roman" w:hAnsi="Times New Roman"/>
                <w:sz w:val="22"/>
                <w:szCs w:val="22"/>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9" w:hRule="atLeast"/>
        </w:trPr>
        <w:tc>
          <w:tcPr>
            <w:tcW w:w="1476" w:type="dxa"/>
            <w:tcBorders>
              <w:top w:val="nil"/>
              <w:left w:val="single" w:color="000000" w:sz="6" w:space="0"/>
              <w:bottom w:val="single" w:color="000000" w:sz="2" w:space="0"/>
            </w:tcBorders>
            <w:vAlign w:val="center"/>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en-US" w:bidi="ar-SA"/>
              </w:rPr>
            </w:pPr>
            <w:r>
              <w:rPr>
                <w:rFonts w:hint="eastAsia" w:ascii="Times New Roman" w:hAnsi="Times New Roman" w:eastAsia="宋体" w:cs="宋体"/>
                <w:spacing w:val="-5"/>
                <w:sz w:val="22"/>
                <w:szCs w:val="22"/>
                <w:lang w:val="en-US" w:eastAsia="zh-CN" w:bidi="ar-SA"/>
              </w:rPr>
              <w:t>出版杂志数量</w:t>
            </w:r>
          </w:p>
        </w:tc>
        <w:tc>
          <w:tcPr>
            <w:tcW w:w="2238" w:type="dxa"/>
            <w:tcBorders>
              <w:top w:val="nil"/>
              <w:bottom w:val="single" w:color="000000" w:sz="2" w:space="0"/>
            </w:tcBorders>
            <w:vAlign w:val="top"/>
          </w:tcPr>
          <w:p>
            <w:pPr>
              <w:pStyle w:val="32"/>
              <w:keepLines w:val="0"/>
              <w:pageBreakBefore w:val="0"/>
              <w:kinsoku/>
              <w:wordWrap/>
              <w:overflowPunct/>
              <w:topLinePunct w:val="0"/>
              <w:bidi w:val="0"/>
              <w:adjustRightInd/>
              <w:spacing w:before="52" w:line="360" w:lineRule="auto"/>
              <w:ind w:left="112" w:leftChars="0" w:right="101" w:rightChars="0"/>
              <w:jc w:val="both"/>
              <w:rPr>
                <w:rFonts w:hint="eastAsia" w:ascii="Times New Roman" w:hAnsi="Times New Roman"/>
                <w:spacing w:val="10"/>
                <w:sz w:val="22"/>
                <w:szCs w:val="22"/>
                <w:lang w:val="en-US" w:eastAsia="zh-CN"/>
              </w:rPr>
            </w:pPr>
          </w:p>
          <w:p>
            <w:pPr>
              <w:pStyle w:val="32"/>
              <w:keepLines w:val="0"/>
              <w:pageBreakBefore w:val="0"/>
              <w:kinsoku/>
              <w:wordWrap/>
              <w:overflowPunct/>
              <w:topLinePunct w:val="0"/>
              <w:bidi w:val="0"/>
              <w:adjustRightInd/>
              <w:spacing w:before="52" w:line="360" w:lineRule="auto"/>
              <w:ind w:left="112" w:leftChars="0" w:right="101" w:rightChars="0"/>
              <w:jc w:val="both"/>
              <w:rPr>
                <w:rFonts w:ascii="Times New Roman" w:hAnsi="Times New Roman"/>
                <w:sz w:val="22"/>
                <w:szCs w:val="22"/>
              </w:rPr>
            </w:pPr>
            <w:r>
              <w:rPr>
                <w:rFonts w:hint="eastAsia" w:ascii="Times New Roman" w:hAnsi="Times New Roman"/>
                <w:spacing w:val="10"/>
                <w:sz w:val="22"/>
                <w:szCs w:val="22"/>
                <w:lang w:val="en-US" w:eastAsia="zh-CN"/>
              </w:rPr>
              <w:t>全年</w:t>
            </w:r>
            <w:r>
              <w:rPr>
                <w:rFonts w:hint="eastAsia" w:ascii="Times New Roman" w:hAnsi="Times New Roman"/>
                <w:spacing w:val="-5"/>
                <w:sz w:val="22"/>
                <w:szCs w:val="22"/>
              </w:rPr>
              <w:t>出版书籍（报刊、杂志）数量</w:t>
            </w:r>
            <w:r>
              <w:rPr>
                <w:rFonts w:hint="eastAsia" w:ascii="Times New Roman" w:hAnsi="Times New Roman"/>
                <w:spacing w:val="-5"/>
                <w:sz w:val="22"/>
                <w:szCs w:val="22"/>
                <w:lang w:val="en-US" w:eastAsia="zh-CN"/>
              </w:rPr>
              <w:t>=9000册</w:t>
            </w:r>
          </w:p>
        </w:tc>
        <w:tc>
          <w:tcPr>
            <w:tcW w:w="3833" w:type="dxa"/>
            <w:vMerge w:val="continue"/>
            <w:tcBorders>
              <w:top w:val="nil"/>
              <w:bottom w:val="single" w:color="000000" w:sz="2" w:space="0"/>
            </w:tcBorders>
            <w:vAlign w:val="top"/>
          </w:tcPr>
          <w:p>
            <w:pPr>
              <w:keepLines w:val="0"/>
              <w:pageBreakBefore w:val="0"/>
              <w:kinsoku/>
              <w:wordWrap/>
              <w:overflowPunct/>
              <w:topLinePunct w:val="0"/>
              <w:bidi w:val="0"/>
              <w:adjustRightInd/>
              <w:spacing w:line="360" w:lineRule="auto"/>
              <w:rPr>
                <w:rFonts w:ascii="Times New Roman" w:hAnsi="Times New Roman"/>
                <w:sz w:val="22"/>
                <w:szCs w:val="22"/>
              </w:rPr>
            </w:pPr>
          </w:p>
        </w:tc>
        <w:tc>
          <w:tcPr>
            <w:tcW w:w="589" w:type="dxa"/>
            <w:tcBorders>
              <w:top w:val="nil"/>
              <w:bottom w:val="single" w:color="000000" w:sz="2" w:space="0"/>
            </w:tcBorders>
            <w:vAlign w:val="top"/>
          </w:tcPr>
          <w:p>
            <w:pPr>
              <w:pStyle w:val="32"/>
              <w:keepLines w:val="0"/>
              <w:pageBreakBefore w:val="0"/>
              <w:kinsoku/>
              <w:wordWrap/>
              <w:overflowPunct/>
              <w:topLinePunct w:val="0"/>
              <w:bidi w:val="0"/>
              <w:adjustRightInd/>
              <w:spacing w:before="248" w:line="360" w:lineRule="auto"/>
              <w:ind w:left="281" w:leftChars="0"/>
              <w:rPr>
                <w:rFonts w:ascii="Times New Roman" w:hAnsi="Times New Roman"/>
                <w:sz w:val="22"/>
                <w:szCs w:val="22"/>
              </w:rPr>
            </w:pPr>
            <w:r>
              <w:rPr>
                <w:rFonts w:hint="eastAsia" w:ascii="Times New Roman" w:hAnsi="Times New Roman"/>
                <w:sz w:val="22"/>
                <w:szCs w:val="22"/>
                <w:lang w:val="en-US" w:eastAsia="zh-CN"/>
              </w:rPr>
              <w:t>5</w:t>
            </w:r>
          </w:p>
        </w:tc>
        <w:tc>
          <w:tcPr>
            <w:tcW w:w="589" w:type="dxa"/>
            <w:tcBorders>
              <w:top w:val="nil"/>
              <w:bottom w:val="single" w:color="000000" w:sz="2" w:space="0"/>
              <w:right w:val="single" w:color="000000" w:sz="6" w:space="0"/>
            </w:tcBorders>
            <w:vAlign w:val="top"/>
          </w:tcPr>
          <w:p>
            <w:pPr>
              <w:pStyle w:val="32"/>
              <w:keepLines w:val="0"/>
              <w:pageBreakBefore w:val="0"/>
              <w:kinsoku/>
              <w:wordWrap/>
              <w:overflowPunct/>
              <w:topLinePunct w:val="0"/>
              <w:bidi w:val="0"/>
              <w:adjustRightInd/>
              <w:spacing w:before="248" w:line="360" w:lineRule="auto"/>
              <w:ind w:left="270" w:leftChars="0"/>
              <w:rPr>
                <w:rFonts w:hint="default" w:ascii="Times New Roman" w:hAnsi="Times New Roman" w:eastAsia="宋体"/>
                <w:sz w:val="22"/>
                <w:szCs w:val="22"/>
                <w:lang w:val="en-US" w:eastAsia="zh-CN"/>
              </w:rPr>
            </w:pPr>
            <w:r>
              <w:rPr>
                <w:rFonts w:hint="eastAsia" w:ascii="Times New Roman" w:hAnsi="Times New Roman"/>
                <w:sz w:val="22"/>
                <w:szCs w:val="22"/>
                <w:lang w:val="en-US" w:eastAsia="zh-CN"/>
              </w:rPr>
              <w:t>4</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color w:val="auto"/>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color w:val="auto"/>
          <w:sz w:val="32"/>
          <w:szCs w:val="32"/>
          <w:highlight w:val="none"/>
          <w:lang w:val="zh-CN" w:eastAsia="zh-CN"/>
        </w:rPr>
        <w:t>指标</w:t>
      </w:r>
      <w:r>
        <w:rPr>
          <w:rFonts w:hint="eastAsia" w:ascii="Times New Roman" w:hAnsi="Times New Roman" w:eastAsia="方正仿宋_GB2312" w:cs="仿宋"/>
          <w:b/>
          <w:bCs/>
          <w:color w:val="auto"/>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val="0"/>
          <w:bCs w:val="0"/>
          <w:sz w:val="32"/>
          <w:szCs w:val="32"/>
          <w:highlight w:val="none"/>
          <w:lang w:val="en-US" w:eastAsia="zh-CN"/>
        </w:rPr>
      </w:pPr>
      <w:r>
        <w:rPr>
          <w:rFonts w:hint="eastAsia" w:ascii="Times New Roman" w:hAnsi="Times New Roman" w:eastAsia="方正仿宋_GB2312" w:cs="仿宋"/>
          <w:sz w:val="32"/>
          <w:highlight w:val="none"/>
          <w:lang w:eastAsia="zh-CN"/>
        </w:rPr>
        <w:t>发布宣传稿件数量</w:t>
      </w:r>
      <w:r>
        <w:rPr>
          <w:rFonts w:ascii="Times New Roman" w:hAnsi="Times New Roman" w:eastAsia="方正仿宋_GB2312" w:cs="仿宋"/>
          <w:sz w:val="32"/>
          <w:highlight w:val="none"/>
        </w:rPr>
        <w:t>，年度指标值大于等于</w:t>
      </w:r>
      <w:r>
        <w:rPr>
          <w:rFonts w:hint="eastAsia" w:ascii="Times New Roman" w:hAnsi="Times New Roman" w:eastAsia="方正仿宋_GB2312" w:cs="仿宋"/>
          <w:sz w:val="32"/>
          <w:highlight w:val="none"/>
          <w:lang w:val="en-US" w:eastAsia="zh-CN"/>
        </w:rPr>
        <w:t>200条</w:t>
      </w:r>
      <w:r>
        <w:rPr>
          <w:rFonts w:ascii="Times New Roman" w:hAnsi="Times New Roman" w:eastAsia="方正仿宋_GB2312" w:cs="仿宋"/>
          <w:sz w:val="32"/>
          <w:highlight w:val="none"/>
        </w:rPr>
        <w:t>，</w:t>
      </w:r>
      <w:r>
        <w:rPr>
          <w:rFonts w:hint="eastAsia" w:ascii="Times New Roman" w:hAnsi="Times New Roman" w:eastAsia="方正仿宋_GB2312"/>
          <w:sz w:val="32"/>
          <w:szCs w:val="32"/>
          <w:highlight w:val="none"/>
          <w:lang w:eastAsia="zh-CN"/>
        </w:rPr>
        <w:t>实际完成</w:t>
      </w:r>
      <w:r>
        <w:rPr>
          <w:rFonts w:hint="eastAsia" w:ascii="Times New Roman" w:hAnsi="Times New Roman" w:eastAsia="方正仿宋_GB2312"/>
          <w:sz w:val="32"/>
          <w:szCs w:val="32"/>
          <w:highlight w:val="none"/>
          <w:lang w:val="en-US" w:eastAsia="zh-CN"/>
        </w:rPr>
        <w:t>215条</w:t>
      </w:r>
      <w:r>
        <w:rPr>
          <w:rFonts w:hint="eastAsia" w:ascii="Times New Roman" w:hAnsi="Times New Roman" w:eastAsia="方正仿宋_GB2312"/>
          <w:sz w:val="32"/>
          <w:szCs w:val="32"/>
          <w:highlight w:val="none"/>
          <w:lang w:eastAsia="zh-CN"/>
        </w:rPr>
        <w:t>。《实践》杂志每年会根据全国、全区宣传重点策划选题，会导致每篇稿件篇幅不同，每年刊发稿件数量</w:t>
      </w:r>
      <w:r>
        <w:rPr>
          <w:rFonts w:hint="eastAsia" w:ascii="Times New Roman" w:hAnsi="Times New Roman" w:eastAsia="方正仿宋_GB2312"/>
          <w:sz w:val="32"/>
          <w:szCs w:val="32"/>
          <w:highlight w:val="none"/>
          <w:lang w:val="en-US" w:eastAsia="zh-CN"/>
        </w:rPr>
        <w:t>有所</w:t>
      </w:r>
      <w:r>
        <w:rPr>
          <w:rFonts w:hint="eastAsia" w:ascii="Times New Roman" w:hAnsi="Times New Roman" w:eastAsia="方正仿宋_GB2312"/>
          <w:sz w:val="32"/>
          <w:szCs w:val="32"/>
          <w:highlight w:val="none"/>
          <w:lang w:eastAsia="zh-CN"/>
        </w:rPr>
        <w:t>偏差。</w:t>
      </w:r>
    </w:p>
    <w:p>
      <w:pPr>
        <w:pStyle w:val="8"/>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0" w:firstLineChars="200"/>
        <w:textAlignment w:val="auto"/>
        <w:rPr>
          <w:rFonts w:hint="default" w:ascii="Times New Roman" w:hAnsi="Times New Roman" w:eastAsia="方正仿宋_GB2312" w:cs="仿宋"/>
          <w:b w:val="0"/>
          <w:color w:val="auto"/>
          <w:kern w:val="0"/>
          <w:sz w:val="32"/>
          <w:szCs w:val="32"/>
          <w:highlight w:val="none"/>
          <w:lang w:val="en-US" w:eastAsia="zh-CN" w:bidi="zh-CN"/>
        </w:rPr>
      </w:pPr>
      <w:r>
        <w:rPr>
          <w:rFonts w:hint="eastAsia" w:ascii="Times New Roman" w:hAnsi="Times New Roman" w:eastAsia="方正仿宋_GB2312" w:cs="仿宋"/>
          <w:b w:val="0"/>
          <w:color w:val="auto"/>
          <w:kern w:val="0"/>
          <w:sz w:val="32"/>
          <w:szCs w:val="32"/>
          <w:highlight w:val="none"/>
          <w:lang w:val="en-US" w:eastAsia="zh-CN" w:bidi="zh-CN"/>
        </w:rPr>
        <w:t>出版杂志发行量</w:t>
      </w:r>
      <w:r>
        <w:rPr>
          <w:rFonts w:hint="default" w:ascii="Times New Roman" w:hAnsi="Times New Roman" w:eastAsia="方正仿宋_GB2312" w:cs="仿宋"/>
          <w:b w:val="0"/>
          <w:color w:val="auto"/>
          <w:kern w:val="0"/>
          <w:sz w:val="32"/>
          <w:szCs w:val="32"/>
          <w:highlight w:val="none"/>
          <w:lang w:val="en-US" w:eastAsia="zh-CN" w:bidi="zh-CN"/>
        </w:rPr>
        <w:t>，年度指标值大于等于</w:t>
      </w:r>
      <w:r>
        <w:rPr>
          <w:rFonts w:hint="eastAsia" w:ascii="Times New Roman" w:hAnsi="Times New Roman" w:eastAsia="方正仿宋_GB2312" w:cs="仿宋"/>
          <w:b w:val="0"/>
          <w:color w:val="auto"/>
          <w:kern w:val="0"/>
          <w:sz w:val="32"/>
          <w:szCs w:val="32"/>
          <w:highlight w:val="none"/>
          <w:lang w:val="en-US" w:eastAsia="zh-CN" w:bidi="zh-CN"/>
        </w:rPr>
        <w:t>9000册</w:t>
      </w:r>
      <w:r>
        <w:rPr>
          <w:rFonts w:hint="default" w:ascii="Times New Roman" w:hAnsi="Times New Roman" w:eastAsia="方正仿宋_GB2312" w:cs="仿宋"/>
          <w:b w:val="0"/>
          <w:color w:val="auto"/>
          <w:kern w:val="0"/>
          <w:sz w:val="32"/>
          <w:szCs w:val="32"/>
          <w:highlight w:val="none"/>
          <w:lang w:val="en-US" w:eastAsia="zh-CN" w:bidi="zh-CN"/>
        </w:rPr>
        <w:t>，实际完成</w:t>
      </w:r>
      <w:r>
        <w:rPr>
          <w:rFonts w:hint="eastAsia" w:ascii="Times New Roman" w:hAnsi="Times New Roman" w:eastAsia="方正仿宋_GB2312" w:cs="仿宋"/>
          <w:b w:val="0"/>
          <w:color w:val="auto"/>
          <w:kern w:val="0"/>
          <w:sz w:val="32"/>
          <w:szCs w:val="32"/>
          <w:highlight w:val="none"/>
          <w:lang w:val="en-US" w:eastAsia="zh-CN" w:bidi="zh-CN"/>
        </w:rPr>
        <w:t>1.67万册</w:t>
      </w:r>
      <w:r>
        <w:rPr>
          <w:rFonts w:hint="default" w:ascii="Times New Roman" w:hAnsi="Times New Roman" w:eastAsia="方正仿宋_GB2312" w:cs="仿宋"/>
          <w:b w:val="0"/>
          <w:color w:val="auto"/>
          <w:kern w:val="0"/>
          <w:sz w:val="32"/>
          <w:szCs w:val="32"/>
          <w:highlight w:val="none"/>
          <w:lang w:val="en-US" w:eastAsia="zh-CN" w:bidi="zh-CN"/>
        </w:rPr>
        <w:t>。202</w:t>
      </w:r>
      <w:r>
        <w:rPr>
          <w:rFonts w:hint="eastAsia" w:ascii="Times New Roman" w:hAnsi="Times New Roman" w:eastAsia="方正仿宋_GB2312" w:cs="仿宋"/>
          <w:b w:val="0"/>
          <w:color w:val="auto"/>
          <w:kern w:val="0"/>
          <w:sz w:val="32"/>
          <w:szCs w:val="32"/>
          <w:highlight w:val="none"/>
          <w:lang w:val="en-US" w:eastAsia="zh-CN" w:bidi="zh-CN"/>
        </w:rPr>
        <w:t>5</w:t>
      </w:r>
      <w:r>
        <w:rPr>
          <w:rFonts w:hint="default" w:ascii="Times New Roman" w:hAnsi="Times New Roman" w:eastAsia="方正仿宋_GB2312" w:cs="仿宋"/>
          <w:b w:val="0"/>
          <w:color w:val="auto"/>
          <w:kern w:val="0"/>
          <w:sz w:val="32"/>
          <w:szCs w:val="32"/>
          <w:highlight w:val="none"/>
          <w:lang w:val="en-US" w:eastAsia="zh-CN" w:bidi="zh-CN"/>
        </w:rPr>
        <w:t>年，社领导带队分赴12盟市开展发行工作，加大《实践》杂志发行力度。</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val="0"/>
          <w:color w:val="auto"/>
          <w:kern w:val="0"/>
          <w:sz w:val="32"/>
          <w:szCs w:val="32"/>
          <w:highlight w:val="none"/>
          <w:lang w:val="en-US" w:eastAsia="zh-CN" w:bidi="zh-CN"/>
        </w:rPr>
      </w:pPr>
      <w:r>
        <w:rPr>
          <w:rFonts w:hint="eastAsia" w:ascii="Times New Roman" w:hAnsi="Times New Roman" w:eastAsia="方正仿宋_GB2312" w:cs="仿宋"/>
          <w:b/>
          <w:bCs/>
          <w:sz w:val="32"/>
          <w:szCs w:val="32"/>
          <w:highlight w:val="none"/>
          <w:lang w:val="en-US" w:eastAsia="zh-CN"/>
        </w:rPr>
        <w:t>本项的扣分原因为：</w:t>
      </w:r>
      <w:r>
        <w:rPr>
          <w:rFonts w:hint="eastAsia" w:ascii="Times New Roman" w:hAnsi="Times New Roman" w:eastAsia="方正仿宋_GB2312" w:cs="仿宋"/>
          <w:b w:val="0"/>
          <w:bCs w:val="0"/>
          <w:sz w:val="32"/>
          <w:szCs w:val="32"/>
          <w:highlight w:val="none"/>
          <w:lang w:val="en-US" w:eastAsia="zh-CN"/>
        </w:rPr>
        <w:t>市场具有不确定性，设置绩效目标时目标值较低，完成值偏离度较大。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b/>
          <w:bCs/>
          <w:color w:val="auto"/>
          <w:sz w:val="32"/>
          <w:szCs w:val="32"/>
          <w:highlight w:val="none"/>
          <w:lang w:val="zh-CN" w:eastAsia="zh-CN"/>
        </w:rPr>
        <w:t>（</w:t>
      </w:r>
      <w:r>
        <w:rPr>
          <w:rFonts w:hint="eastAsia" w:ascii="Times New Roman" w:hAnsi="Times New Roman" w:eastAsia="方正仿宋_GB2312" w:cs="仿宋"/>
          <w:b/>
          <w:bCs/>
          <w:color w:val="auto"/>
          <w:sz w:val="32"/>
          <w:szCs w:val="32"/>
          <w:highlight w:val="none"/>
          <w:lang w:val="en-US" w:eastAsia="zh-CN"/>
        </w:rPr>
        <w:t>3</w:t>
      </w:r>
      <w:r>
        <w:rPr>
          <w:rFonts w:hint="eastAsia" w:ascii="Times New Roman" w:hAnsi="Times New Roman" w:eastAsia="方正仿宋_GB2312" w:cs="仿宋"/>
          <w:b/>
          <w:bCs/>
          <w:color w:val="auto"/>
          <w:sz w:val="32"/>
          <w:szCs w:val="32"/>
          <w:highlight w:val="none"/>
          <w:lang w:val="zh-CN" w:eastAsia="zh-CN"/>
        </w:rPr>
        <w:t>）</w:t>
      </w:r>
      <w:r>
        <w:rPr>
          <w:rFonts w:hint="eastAsia" w:ascii="Times New Roman" w:hAnsi="Times New Roman" w:eastAsia="方正仿宋_GB2312" w:cs="仿宋"/>
          <w:b/>
          <w:bCs/>
          <w:color w:val="auto"/>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综上，数量指标环节达到了项目预期管控目标。</w:t>
      </w:r>
      <w:bookmarkStart w:id="197" w:name="_Toc21656"/>
      <w:bookmarkStart w:id="198" w:name="_Toc26584"/>
      <w:bookmarkStart w:id="199" w:name="_Toc27399"/>
      <w:bookmarkStart w:id="200" w:name="_Toc16625"/>
      <w:bookmarkStart w:id="201" w:name="_Toc24565"/>
      <w:bookmarkStart w:id="202" w:name="_Toc26884"/>
      <w:bookmarkStart w:id="203" w:name="_Toc32354"/>
      <w:bookmarkStart w:id="204" w:name="_Toc32762"/>
      <w:bookmarkStart w:id="205" w:name="_Toc9449"/>
    </w:p>
    <w:p>
      <w:pPr>
        <w:keepNext w:val="0"/>
        <w:keepLines w:val="0"/>
        <w:pageBreakBefore w:val="0"/>
        <w:widowControl w:val="0"/>
        <w:kinsoku/>
        <w:wordWrap/>
        <w:overflowPunct/>
        <w:topLinePunct w:val="0"/>
        <w:bidi w:val="0"/>
        <w:adjustRightInd/>
        <w:snapToGrid/>
        <w:spacing w:line="360" w:lineRule="auto"/>
        <w:ind w:left="0" w:leftChars="0" w:right="0" w:firstLine="642" w:firstLineChars="200"/>
        <w:textAlignment w:val="auto"/>
        <w:outlineLvl w:val="2"/>
        <w:rPr>
          <w:rFonts w:hint="default" w:ascii="Times New Roman" w:hAnsi="Times New Roman" w:eastAsia="方正仿宋_GB2312" w:cs="仿宋"/>
          <w:b/>
          <w:sz w:val="32"/>
          <w:szCs w:val="32"/>
          <w:highlight w:val="none"/>
          <w:lang w:val="en-US" w:eastAsia="zh-CN"/>
        </w:rPr>
      </w:pPr>
      <w:bookmarkStart w:id="206" w:name="_Toc19498"/>
      <w:r>
        <w:rPr>
          <w:rFonts w:hint="eastAsia" w:ascii="Times New Roman" w:hAnsi="Times New Roman" w:eastAsia="方正仿宋_GB2312" w:cs="仿宋"/>
          <w:b/>
          <w:sz w:val="32"/>
          <w:szCs w:val="32"/>
          <w:highlight w:val="none"/>
          <w:lang w:val="en-US" w:eastAsia="zh-CN"/>
        </w:rPr>
        <w:t>2</w:t>
      </w:r>
      <w:r>
        <w:rPr>
          <w:rFonts w:hint="eastAsia" w:ascii="Times New Roman" w:hAnsi="Times New Roman" w:eastAsia="方正仿宋_GB2312" w:cs="仿宋"/>
          <w:b/>
          <w:sz w:val="32"/>
          <w:szCs w:val="32"/>
          <w:highlight w:val="none"/>
          <w:lang w:val="zh-CN"/>
        </w:rPr>
        <w:t>.</w:t>
      </w:r>
      <w:r>
        <w:rPr>
          <w:rFonts w:hint="eastAsia" w:ascii="Times New Roman" w:hAnsi="Times New Roman" w:eastAsia="方正仿宋_GB2312" w:cs="仿宋"/>
          <w:b/>
          <w:sz w:val="32"/>
          <w:szCs w:val="32"/>
          <w:highlight w:val="none"/>
          <w:lang w:val="en-US" w:eastAsia="zh-CN"/>
        </w:rPr>
        <w:t>质量指标</w:t>
      </w:r>
      <w:bookmarkEnd w:id="197"/>
      <w:bookmarkEnd w:id="198"/>
      <w:bookmarkEnd w:id="199"/>
      <w:bookmarkEnd w:id="200"/>
      <w:bookmarkEnd w:id="201"/>
      <w:bookmarkEnd w:id="202"/>
      <w:bookmarkEnd w:id="203"/>
      <w:bookmarkEnd w:id="204"/>
      <w:bookmarkEnd w:id="205"/>
      <w:bookmarkEnd w:id="206"/>
    </w:p>
    <w:tbl>
      <w:tblPr>
        <w:tblStyle w:val="33"/>
        <w:tblpPr w:leftFromText="180" w:rightFromText="180" w:vertAnchor="text" w:horzAnchor="page" w:tblpX="1837" w:tblpY="785"/>
        <w:tblOverlap w:val="never"/>
        <w:tblW w:w="858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0"/>
        <w:gridCol w:w="2678"/>
        <w:gridCol w:w="3206"/>
        <w:gridCol w:w="612"/>
        <w:gridCol w:w="5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500" w:type="dxa"/>
            <w:tcBorders>
              <w:top w:val="single" w:color="000000" w:sz="6" w:space="0"/>
              <w:left w:val="single" w:color="000000" w:sz="6" w:space="0"/>
              <w:bottom w:val="nil"/>
            </w:tcBorders>
            <w:shd w:val="clear" w:color="auto" w:fill="auto"/>
            <w:vAlign w:val="top"/>
          </w:tcPr>
          <w:p>
            <w:pPr>
              <w:pStyle w:val="32"/>
              <w:keepLines w:val="0"/>
              <w:pageBreakBefore w:val="0"/>
              <w:kinsoku/>
              <w:wordWrap/>
              <w:overflowPunct/>
              <w:topLinePunct w:val="0"/>
              <w:bidi w:val="0"/>
              <w:adjustRightInd/>
              <w:spacing w:before="102" w:line="360" w:lineRule="auto"/>
              <w:jc w:val="center"/>
              <w:rPr>
                <w:rFonts w:hint="eastAsia" w:ascii="Times New Roman" w:hAnsi="Times New Roman" w:eastAsia="宋体" w:cs="宋体"/>
                <w:sz w:val="22"/>
                <w:szCs w:val="22"/>
                <w:lang w:val="en-US" w:eastAsia="zh-CN" w:bidi="ar-SA"/>
              </w:rPr>
            </w:pPr>
            <w:r>
              <w:rPr>
                <w:rFonts w:ascii="Times New Roman" w:hAnsi="Times New Roman"/>
                <w:spacing w:val="-4"/>
                <w:sz w:val="22"/>
                <w:szCs w:val="22"/>
              </w:rPr>
              <w:t>三级指标</w:t>
            </w:r>
          </w:p>
        </w:tc>
        <w:tc>
          <w:tcPr>
            <w:tcW w:w="2678" w:type="dxa"/>
            <w:tcBorders>
              <w:top w:val="single" w:color="000000" w:sz="6" w:space="0"/>
              <w:bottom w:val="nil"/>
            </w:tcBorders>
            <w:shd w:val="clear" w:color="auto" w:fill="auto"/>
            <w:vAlign w:val="top"/>
          </w:tcPr>
          <w:p>
            <w:pPr>
              <w:pStyle w:val="32"/>
              <w:keepLines w:val="0"/>
              <w:pageBreakBefore w:val="0"/>
              <w:kinsoku/>
              <w:wordWrap/>
              <w:overflowPunct/>
              <w:topLinePunct w:val="0"/>
              <w:bidi w:val="0"/>
              <w:adjustRightInd/>
              <w:spacing w:before="101" w:line="360" w:lineRule="auto"/>
              <w:jc w:val="center"/>
              <w:rPr>
                <w:rFonts w:ascii="Times New Roman" w:hAnsi="Times New Roman" w:eastAsia="宋体" w:cs="宋体"/>
                <w:sz w:val="22"/>
                <w:szCs w:val="22"/>
                <w:lang w:val="en-US" w:eastAsia="en-US" w:bidi="ar-SA"/>
              </w:rPr>
            </w:pPr>
            <w:r>
              <w:rPr>
                <w:rFonts w:ascii="Times New Roman" w:hAnsi="Times New Roman"/>
                <w:spacing w:val="-5"/>
                <w:sz w:val="22"/>
                <w:szCs w:val="22"/>
              </w:rPr>
              <w:t>指标解释</w:t>
            </w:r>
          </w:p>
        </w:tc>
        <w:tc>
          <w:tcPr>
            <w:tcW w:w="3206" w:type="dxa"/>
            <w:tcBorders>
              <w:top w:val="single" w:color="000000" w:sz="6" w:space="0"/>
              <w:bottom w:val="nil"/>
            </w:tcBorders>
            <w:shd w:val="clear" w:color="auto" w:fill="auto"/>
            <w:vAlign w:val="top"/>
          </w:tcPr>
          <w:p>
            <w:pPr>
              <w:pStyle w:val="32"/>
              <w:keepLines w:val="0"/>
              <w:pageBreakBefore w:val="0"/>
              <w:kinsoku/>
              <w:wordWrap/>
              <w:overflowPunct/>
              <w:topLinePunct w:val="0"/>
              <w:bidi w:val="0"/>
              <w:adjustRightInd/>
              <w:spacing w:before="101" w:line="360" w:lineRule="auto"/>
              <w:ind w:left="836" w:leftChars="0"/>
              <w:jc w:val="both"/>
              <w:rPr>
                <w:rFonts w:ascii="Times New Roman" w:hAnsi="Times New Roman" w:eastAsia="宋体" w:cs="宋体"/>
                <w:sz w:val="22"/>
                <w:szCs w:val="22"/>
                <w:lang w:val="en-US" w:eastAsia="en-US" w:bidi="ar-SA"/>
              </w:rPr>
            </w:pPr>
            <w:r>
              <w:rPr>
                <w:rFonts w:ascii="Times New Roman" w:hAnsi="Times New Roman"/>
                <w:spacing w:val="-4"/>
                <w:sz w:val="22"/>
                <w:szCs w:val="22"/>
              </w:rPr>
              <w:t>评价标准</w:t>
            </w:r>
          </w:p>
        </w:tc>
        <w:tc>
          <w:tcPr>
            <w:tcW w:w="612" w:type="dxa"/>
            <w:tcBorders>
              <w:top w:val="single" w:color="000000" w:sz="6" w:space="0"/>
              <w:bottom w:val="nil"/>
            </w:tcBorders>
            <w:shd w:val="clear" w:color="auto" w:fill="auto"/>
            <w:vAlign w:val="top"/>
          </w:tcPr>
          <w:p>
            <w:pPr>
              <w:pStyle w:val="32"/>
              <w:keepLines w:val="0"/>
              <w:pageBreakBefore w:val="0"/>
              <w:kinsoku/>
              <w:wordWrap/>
              <w:overflowPunct/>
              <w:topLinePunct w:val="0"/>
              <w:bidi w:val="0"/>
              <w:adjustRightInd/>
              <w:spacing w:before="101" w:line="360" w:lineRule="auto"/>
              <w:ind w:left="128" w:leftChars="0"/>
              <w:jc w:val="both"/>
              <w:rPr>
                <w:rFonts w:hint="eastAsia" w:ascii="Times New Roman" w:hAnsi="Times New Roman" w:eastAsia="宋体" w:cs="宋体"/>
                <w:sz w:val="22"/>
                <w:szCs w:val="22"/>
                <w:lang w:val="en-US" w:eastAsia="zh-CN" w:bidi="ar-SA"/>
              </w:rPr>
            </w:pPr>
            <w:r>
              <w:rPr>
                <w:rFonts w:ascii="Times New Roman" w:hAnsi="Times New Roman"/>
                <w:spacing w:val="-7"/>
                <w:sz w:val="22"/>
                <w:szCs w:val="22"/>
              </w:rPr>
              <w:t>分值</w:t>
            </w:r>
          </w:p>
        </w:tc>
        <w:tc>
          <w:tcPr>
            <w:tcW w:w="588" w:type="dxa"/>
            <w:tcBorders>
              <w:top w:val="single" w:color="000000" w:sz="6" w:space="0"/>
              <w:bottom w:val="nil"/>
              <w:right w:val="single" w:color="000000" w:sz="6" w:space="0"/>
            </w:tcBorders>
            <w:shd w:val="clear" w:color="auto" w:fill="auto"/>
            <w:vAlign w:val="top"/>
          </w:tcPr>
          <w:p>
            <w:pPr>
              <w:pStyle w:val="32"/>
              <w:keepLines w:val="0"/>
              <w:pageBreakBefore w:val="0"/>
              <w:kinsoku/>
              <w:wordWrap/>
              <w:overflowPunct/>
              <w:topLinePunct w:val="0"/>
              <w:bidi w:val="0"/>
              <w:adjustRightInd/>
              <w:spacing w:before="101" w:line="360" w:lineRule="auto"/>
              <w:ind w:left="128" w:leftChars="0"/>
              <w:jc w:val="both"/>
              <w:rPr>
                <w:rFonts w:hint="eastAsia" w:ascii="Times New Roman" w:hAnsi="Times New Roman" w:eastAsia="宋体" w:cs="宋体"/>
                <w:sz w:val="22"/>
                <w:szCs w:val="22"/>
                <w:lang w:val="en-US" w:eastAsia="zh-CN" w:bidi="ar-SA"/>
              </w:rPr>
            </w:pPr>
            <w:r>
              <w:rPr>
                <w:rFonts w:ascii="Times New Roman" w:hAnsi="Times New Roman"/>
                <w:spacing w:val="-6"/>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trPr>
        <w:tc>
          <w:tcPr>
            <w:tcW w:w="1500" w:type="dxa"/>
            <w:tcBorders>
              <w:top w:val="single" w:color="000000" w:sz="6" w:space="0"/>
              <w:left w:val="single" w:color="000000" w:sz="6" w:space="0"/>
              <w:bottom w:val="nil"/>
            </w:tcBorders>
            <w:vAlign w:val="center"/>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期刊编校差错率</w:t>
            </w:r>
          </w:p>
        </w:tc>
        <w:tc>
          <w:tcPr>
            <w:tcW w:w="2678" w:type="dxa"/>
            <w:tcBorders>
              <w:top w:val="single" w:color="000000" w:sz="6" w:space="0"/>
              <w:bottom w:val="nil"/>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反映刊物发稿的质量水平，指标值设为≤0.02%</w:t>
            </w:r>
          </w:p>
        </w:tc>
        <w:tc>
          <w:tcPr>
            <w:tcW w:w="3206" w:type="dxa"/>
            <w:vMerge w:val="restart"/>
            <w:tcBorders>
              <w:top w:val="single" w:color="000000" w:sz="6" w:space="0"/>
              <w:bottom w:val="nil"/>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（1）与设定指标值相比，完成指标值的，记该指标所赋全部分值；</w:t>
            </w: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（2）对完成值高于指标值较多的，若是由于指标值设定明显偏低造成的，按照偏离度适当调减分值；</w:t>
            </w: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（3）未完成指标值的，按照完成值与指标值的比例积分。</w:t>
            </w:r>
          </w:p>
        </w:tc>
        <w:tc>
          <w:tcPr>
            <w:tcW w:w="612" w:type="dxa"/>
            <w:tcBorders>
              <w:top w:val="single" w:color="000000" w:sz="6" w:space="0"/>
              <w:bottom w:val="nil"/>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5</w:t>
            </w:r>
          </w:p>
        </w:tc>
        <w:tc>
          <w:tcPr>
            <w:tcW w:w="588" w:type="dxa"/>
            <w:tcBorders>
              <w:top w:val="single" w:color="000000" w:sz="6" w:space="0"/>
              <w:bottom w:val="nil"/>
              <w:right w:val="single" w:color="000000" w:sz="6" w:space="0"/>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1500" w:type="dxa"/>
            <w:tcBorders>
              <w:top w:val="nil"/>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装帧印制合格质量</w:t>
            </w:r>
          </w:p>
        </w:tc>
        <w:tc>
          <w:tcPr>
            <w:tcW w:w="2678" w:type="dxa"/>
            <w:tcBorders>
              <w:top w:val="nil"/>
              <w:bottom w:val="single" w:color="000000" w:sz="6" w:space="0"/>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反映刊物稿件的质量水平，指标值设为≥95%</w:t>
            </w:r>
          </w:p>
        </w:tc>
        <w:tc>
          <w:tcPr>
            <w:tcW w:w="3206" w:type="dxa"/>
            <w:vMerge w:val="continue"/>
            <w:tcBorders>
              <w:top w:val="nil"/>
              <w:bottom w:val="single" w:color="000000" w:sz="6" w:space="0"/>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tc>
        <w:tc>
          <w:tcPr>
            <w:tcW w:w="612" w:type="dxa"/>
            <w:tcBorders>
              <w:top w:val="nil"/>
              <w:bottom w:val="single" w:color="000000" w:sz="6" w:space="0"/>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5</w:t>
            </w:r>
          </w:p>
        </w:tc>
        <w:tc>
          <w:tcPr>
            <w:tcW w:w="588" w:type="dxa"/>
            <w:tcBorders>
              <w:top w:val="nil"/>
              <w:bottom w:val="single" w:color="000000" w:sz="6" w:space="0"/>
              <w:right w:val="single" w:color="000000" w:sz="6" w:space="0"/>
            </w:tcBorders>
            <w:vAlign w:val="top"/>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p>
          <w:p>
            <w:pPr>
              <w:keepNext w:val="0"/>
              <w:keepLines w:val="0"/>
              <w:pageBreakBefore w:val="0"/>
              <w:widowControl/>
              <w:suppressLineNumbers w:val="0"/>
              <w:kinsoku/>
              <w:wordWrap/>
              <w:overflowPunct/>
              <w:topLinePunct w:val="0"/>
              <w:bidi w:val="0"/>
              <w:adjustRightInd/>
              <w:spacing w:line="360" w:lineRule="auto"/>
              <w:jc w:val="center"/>
              <w:textAlignment w:val="center"/>
              <w:rPr>
                <w:rFonts w:hint="eastAsia" w:ascii="Times New Roman" w:hAnsi="Times New Roman" w:eastAsia="宋体" w:cs="宋体"/>
                <w:spacing w:val="-5"/>
                <w:sz w:val="22"/>
                <w:szCs w:val="22"/>
                <w:lang w:val="en-US" w:eastAsia="zh-CN" w:bidi="ar-SA"/>
              </w:rPr>
            </w:pPr>
            <w:r>
              <w:rPr>
                <w:rFonts w:hint="eastAsia" w:ascii="Times New Roman" w:hAnsi="Times New Roman" w:eastAsia="宋体" w:cs="宋体"/>
                <w:spacing w:val="-5"/>
                <w:sz w:val="22"/>
                <w:szCs w:val="22"/>
                <w:lang w:val="en-US" w:eastAsia="zh-CN" w:bidi="ar-SA"/>
              </w:rPr>
              <w:t>5</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olor w:val="auto"/>
          <w:sz w:val="32"/>
          <w:szCs w:val="32"/>
          <w:highlight w:val="none"/>
          <w:lang w:val="en-US" w:eastAsia="zh-CN"/>
        </w:rPr>
      </w:pPr>
      <w:r>
        <w:rPr>
          <w:rFonts w:hint="eastAsia" w:ascii="Times New Roman" w:hAnsi="Times New Roman" w:eastAsia="方正仿宋_GB2312"/>
          <w:color w:val="auto"/>
          <w:sz w:val="32"/>
          <w:szCs w:val="32"/>
          <w:highlight w:val="none"/>
          <w:lang w:val="en-US" w:eastAsia="zh-CN"/>
        </w:rPr>
        <w:t>期刊编校差错率，年度指标值小于等于0.02%，实际完成100%。2025年，《实践》蒙文版全年共12期杂志稿件均经编辑部主任、分管副总编辑、总编辑、社长审核，经核查，上刊稿件均符合稿件刊发要求。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olor w:val="auto"/>
          <w:sz w:val="32"/>
          <w:szCs w:val="32"/>
          <w:highlight w:val="none"/>
          <w:lang w:val="en-US" w:eastAsia="zh-CN"/>
        </w:rPr>
      </w:pPr>
      <w:r>
        <w:rPr>
          <w:rFonts w:hint="eastAsia" w:ascii="Times New Roman" w:hAnsi="Times New Roman" w:eastAsia="方正仿宋_GB2312"/>
          <w:color w:val="auto"/>
          <w:sz w:val="32"/>
          <w:szCs w:val="32"/>
          <w:highlight w:val="none"/>
          <w:lang w:val="en-US" w:eastAsia="zh-CN"/>
        </w:rPr>
        <w:t>装帧印制合格质量，年度指标值大于等于95%，实际完成100%。2025年，《实践》蒙文版全年共12期杂志未发生印刷质量问题。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综上，质量指标环节达到了项目预期管控目标。</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textAlignment w:val="auto"/>
        <w:outlineLvl w:val="2"/>
        <w:rPr>
          <w:rFonts w:hint="default" w:ascii="Times New Roman" w:hAnsi="Times New Roman" w:eastAsia="方正仿宋_GB2312" w:cs="仿宋"/>
          <w:b/>
          <w:sz w:val="32"/>
          <w:szCs w:val="32"/>
          <w:highlight w:val="none"/>
          <w:lang w:val="en-US" w:eastAsia="zh-CN"/>
        </w:rPr>
      </w:pPr>
      <w:bookmarkStart w:id="207" w:name="_Toc9365"/>
      <w:bookmarkStart w:id="208" w:name="_Toc26572"/>
      <w:bookmarkStart w:id="209" w:name="_Toc6464"/>
      <w:bookmarkStart w:id="210" w:name="_Toc2876"/>
      <w:bookmarkStart w:id="211" w:name="_Toc28143"/>
      <w:bookmarkStart w:id="212" w:name="_Toc10413"/>
      <w:bookmarkStart w:id="213" w:name="_Toc19355"/>
      <w:bookmarkStart w:id="214" w:name="_Toc20806"/>
      <w:bookmarkStart w:id="215" w:name="_Toc1516"/>
      <w:bookmarkStart w:id="216" w:name="_Toc12358"/>
      <w:r>
        <w:rPr>
          <w:rFonts w:hint="eastAsia" w:ascii="Times New Roman" w:hAnsi="Times New Roman" w:eastAsia="方正仿宋_GB2312" w:cs="仿宋"/>
          <w:b/>
          <w:sz w:val="32"/>
          <w:szCs w:val="32"/>
          <w:highlight w:val="none"/>
          <w:lang w:val="en-US" w:eastAsia="zh-CN"/>
        </w:rPr>
        <w:t>3</w:t>
      </w:r>
      <w:r>
        <w:rPr>
          <w:rFonts w:hint="eastAsia" w:ascii="Times New Roman" w:hAnsi="Times New Roman" w:eastAsia="方正仿宋_GB2312" w:cs="仿宋"/>
          <w:b/>
          <w:sz w:val="32"/>
          <w:szCs w:val="32"/>
          <w:highlight w:val="none"/>
          <w:lang w:val="zh-CN"/>
        </w:rPr>
        <w:t>.</w:t>
      </w:r>
      <w:r>
        <w:rPr>
          <w:rFonts w:hint="eastAsia" w:ascii="Times New Roman" w:hAnsi="Times New Roman" w:eastAsia="方正仿宋_GB2312" w:cs="仿宋"/>
          <w:b/>
          <w:sz w:val="32"/>
          <w:szCs w:val="32"/>
          <w:highlight w:val="none"/>
          <w:lang w:val="en-US" w:eastAsia="zh-CN"/>
        </w:rPr>
        <w:t>时效指标</w:t>
      </w:r>
      <w:bookmarkEnd w:id="207"/>
      <w:bookmarkEnd w:id="208"/>
      <w:bookmarkEnd w:id="209"/>
      <w:bookmarkEnd w:id="210"/>
      <w:bookmarkEnd w:id="211"/>
      <w:bookmarkEnd w:id="212"/>
      <w:bookmarkEnd w:id="213"/>
      <w:bookmarkEnd w:id="214"/>
      <w:bookmarkEnd w:id="215"/>
      <w:bookmarkEnd w:id="216"/>
    </w:p>
    <w:tbl>
      <w:tblPr>
        <w:tblStyle w:val="33"/>
        <w:tblpPr w:leftFromText="180" w:rightFromText="180" w:vertAnchor="text" w:horzAnchor="page" w:tblpX="1666" w:tblpY="600"/>
        <w:tblOverlap w:val="never"/>
        <w:tblW w:w="87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0"/>
        <w:gridCol w:w="2102"/>
        <w:gridCol w:w="3909"/>
        <w:gridCol w:w="634"/>
        <w:gridCol w:w="6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510" w:type="dxa"/>
            <w:tcBorders>
              <w:top w:val="single" w:color="000000" w:sz="6" w:space="0"/>
              <w:left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sz w:val="22"/>
                <w:szCs w:val="22"/>
              </w:rPr>
            </w:pPr>
            <w:r>
              <w:rPr>
                <w:rFonts w:ascii="Times New Roman" w:hAnsi="Times New Roman"/>
                <w:spacing w:val="-4"/>
                <w:sz w:val="22"/>
                <w:szCs w:val="22"/>
              </w:rPr>
              <w:t>三级指标</w:t>
            </w:r>
          </w:p>
        </w:tc>
        <w:tc>
          <w:tcPr>
            <w:tcW w:w="2102" w:type="dxa"/>
            <w:tcBorders>
              <w:top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eastAsia="宋体" w:cs="宋体"/>
                <w:spacing w:val="-4"/>
                <w:sz w:val="22"/>
                <w:szCs w:val="22"/>
              </w:rPr>
            </w:pPr>
            <w:r>
              <w:rPr>
                <w:rFonts w:ascii="Times New Roman" w:hAnsi="Times New Roman" w:eastAsia="宋体" w:cs="宋体"/>
                <w:spacing w:val="-4"/>
                <w:sz w:val="22"/>
                <w:szCs w:val="22"/>
              </w:rPr>
              <w:t>指标解释</w:t>
            </w:r>
          </w:p>
        </w:tc>
        <w:tc>
          <w:tcPr>
            <w:tcW w:w="3909" w:type="dxa"/>
            <w:tcBorders>
              <w:top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eastAsia="宋体" w:cs="宋体"/>
                <w:spacing w:val="-4"/>
                <w:sz w:val="22"/>
                <w:szCs w:val="22"/>
              </w:rPr>
            </w:pPr>
            <w:r>
              <w:rPr>
                <w:rFonts w:ascii="Times New Roman" w:hAnsi="Times New Roman" w:eastAsia="宋体" w:cs="宋体"/>
                <w:spacing w:val="-4"/>
                <w:sz w:val="22"/>
                <w:szCs w:val="22"/>
              </w:rPr>
              <w:t>评价标准</w:t>
            </w:r>
          </w:p>
        </w:tc>
        <w:tc>
          <w:tcPr>
            <w:tcW w:w="634" w:type="dxa"/>
            <w:tcBorders>
              <w:top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eastAsia="宋体" w:cs="宋体"/>
                <w:spacing w:val="-4"/>
                <w:sz w:val="22"/>
                <w:szCs w:val="22"/>
              </w:rPr>
            </w:pPr>
            <w:r>
              <w:rPr>
                <w:rFonts w:ascii="Times New Roman" w:hAnsi="Times New Roman" w:eastAsia="宋体" w:cs="宋体"/>
                <w:spacing w:val="-4"/>
                <w:sz w:val="22"/>
                <w:szCs w:val="22"/>
              </w:rPr>
              <w:t>分值</w:t>
            </w:r>
          </w:p>
        </w:tc>
        <w:tc>
          <w:tcPr>
            <w:tcW w:w="600" w:type="dxa"/>
            <w:tcBorders>
              <w:top w:val="single" w:color="000000" w:sz="6" w:space="0"/>
              <w:right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eastAsia="宋体" w:cs="宋体"/>
                <w:spacing w:val="-4"/>
                <w:sz w:val="22"/>
                <w:szCs w:val="22"/>
              </w:rPr>
            </w:pPr>
            <w:r>
              <w:rPr>
                <w:rFonts w:ascii="Times New Roman" w:hAnsi="Times New Roman" w:eastAsia="宋体" w:cs="宋体"/>
                <w:spacing w:val="-4"/>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1" w:hRule="atLeast"/>
        </w:trPr>
        <w:tc>
          <w:tcPr>
            <w:tcW w:w="1510" w:type="dxa"/>
            <w:tcBorders>
              <w:left w:val="single" w:color="000000" w:sz="6" w:space="0"/>
              <w:bottom w:val="single" w:color="auto" w:sz="4" w:space="0"/>
            </w:tcBorders>
            <w:vAlign w:val="center"/>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hint="default" w:ascii="Times New Roman" w:hAnsi="Times New Roman" w:eastAsia="宋体" w:cs="宋体"/>
                <w:spacing w:val="10"/>
                <w:sz w:val="22"/>
                <w:szCs w:val="22"/>
                <w:lang w:val="en-US" w:eastAsia="en-US" w:bidi="ar-SA"/>
              </w:rPr>
            </w:pPr>
            <w:r>
              <w:rPr>
                <w:rFonts w:hint="eastAsia" w:ascii="Times New Roman" w:hAnsi="Times New Roman" w:eastAsia="宋体" w:cs="宋体"/>
                <w:spacing w:val="10"/>
                <w:sz w:val="22"/>
                <w:szCs w:val="22"/>
                <w:lang w:val="en-US" w:eastAsia="zh-CN" w:bidi="ar-SA"/>
              </w:rPr>
              <w:t>出刊周期</w:t>
            </w:r>
          </w:p>
        </w:tc>
        <w:tc>
          <w:tcPr>
            <w:tcW w:w="2102" w:type="dxa"/>
            <w:tcBorders>
              <w:bottom w:val="single" w:color="auto" w:sz="4" w:space="0"/>
            </w:tcBorders>
            <w:vAlign w:val="top"/>
          </w:tcPr>
          <w:p>
            <w:pPr>
              <w:pStyle w:val="32"/>
              <w:keepLines w:val="0"/>
              <w:pageBreakBefore w:val="0"/>
              <w:kinsoku/>
              <w:wordWrap/>
              <w:overflowPunct/>
              <w:topLinePunct w:val="0"/>
              <w:bidi w:val="0"/>
              <w:adjustRightInd/>
              <w:spacing w:before="216" w:line="360" w:lineRule="auto"/>
              <w:ind w:left="112" w:leftChars="0" w:right="101" w:rightChars="0"/>
              <w:rPr>
                <w:rFonts w:hint="eastAsia" w:ascii="Times New Roman" w:hAnsi="Times New Roman" w:eastAsia="宋体" w:cs="宋体"/>
                <w:spacing w:val="10"/>
                <w:sz w:val="22"/>
                <w:szCs w:val="22"/>
                <w:lang w:val="en-US" w:eastAsia="zh-CN" w:bidi="ar-SA"/>
              </w:rPr>
            </w:pPr>
            <w:r>
              <w:rPr>
                <w:rFonts w:ascii="Times New Roman" w:hAnsi="Times New Roman" w:eastAsia="宋体" w:cs="宋体"/>
                <w:spacing w:val="10"/>
                <w:sz w:val="22"/>
                <w:szCs w:val="22"/>
                <w:lang w:val="en-US" w:eastAsia="en-US" w:bidi="ar-SA"/>
              </w:rPr>
              <w:t>反映修</w:t>
            </w:r>
            <w:r>
              <w:rPr>
                <w:rFonts w:hint="eastAsia" w:ascii="Times New Roman" w:hAnsi="Times New Roman" w:eastAsia="宋体" w:cs="宋体"/>
                <w:spacing w:val="10"/>
                <w:sz w:val="22"/>
                <w:szCs w:val="22"/>
                <w:lang w:val="en-US" w:eastAsia="zh-CN" w:bidi="ar-SA"/>
              </w:rPr>
              <w:t>出刊</w:t>
            </w:r>
            <w:r>
              <w:rPr>
                <w:rFonts w:ascii="Times New Roman" w:hAnsi="Times New Roman" w:eastAsia="宋体" w:cs="宋体"/>
                <w:spacing w:val="10"/>
                <w:sz w:val="22"/>
                <w:szCs w:val="22"/>
                <w:lang w:val="en-US" w:eastAsia="en-US" w:bidi="ar-SA"/>
              </w:rPr>
              <w:t>及时性，指标值设为</w:t>
            </w:r>
            <w:r>
              <w:rPr>
                <w:rFonts w:hint="eastAsia" w:ascii="Times New Roman" w:hAnsi="Times New Roman" w:eastAsia="宋体" w:cs="宋体"/>
                <w:spacing w:val="10"/>
                <w:sz w:val="22"/>
                <w:szCs w:val="22"/>
                <w:lang w:val="en-US" w:eastAsia="en-US" w:bidi="ar-SA"/>
              </w:rPr>
              <w:t>每月</w:t>
            </w:r>
            <w:r>
              <w:rPr>
                <w:rFonts w:hint="eastAsia" w:ascii="Times New Roman" w:hAnsi="Times New Roman" w:eastAsia="宋体" w:cs="宋体"/>
                <w:spacing w:val="10"/>
                <w:sz w:val="22"/>
                <w:szCs w:val="22"/>
                <w:lang w:val="en-US" w:eastAsia="zh-CN" w:bidi="ar-SA"/>
              </w:rPr>
              <w:t>出刊</w:t>
            </w:r>
          </w:p>
        </w:tc>
        <w:tc>
          <w:tcPr>
            <w:tcW w:w="3909" w:type="dxa"/>
            <w:vMerge w:val="restart"/>
            <w:tcBorders>
              <w:top w:val="nil"/>
            </w:tcBorders>
            <w:vAlign w:val="top"/>
          </w:tcPr>
          <w:p>
            <w:pPr>
              <w:pStyle w:val="32"/>
              <w:keepLines w:val="0"/>
              <w:pageBreakBefore w:val="0"/>
              <w:kinsoku/>
              <w:wordWrap/>
              <w:overflowPunct/>
              <w:topLinePunct w:val="0"/>
              <w:bidi w:val="0"/>
              <w:adjustRightInd/>
              <w:spacing w:before="65" w:line="360" w:lineRule="auto"/>
              <w:ind w:left="116" w:right="83" w:firstLine="1"/>
              <w:jc w:val="both"/>
              <w:rPr>
                <w:rFonts w:ascii="Times New Roman" w:hAnsi="Times New Roman" w:eastAsia="宋体" w:cs="宋体"/>
                <w:spacing w:val="10"/>
                <w:sz w:val="22"/>
                <w:szCs w:val="22"/>
                <w:lang w:val="en-US" w:eastAsia="en-US" w:bidi="ar-SA"/>
              </w:rPr>
            </w:pPr>
            <w:r>
              <w:rPr>
                <w:rFonts w:ascii="Times New Roman" w:hAnsi="Times New Roman" w:eastAsia="宋体" w:cs="宋体"/>
                <w:spacing w:val="10"/>
                <w:sz w:val="22"/>
                <w:szCs w:val="22"/>
                <w:lang w:val="en-US" w:eastAsia="en-US" w:bidi="ar-SA"/>
              </w:rPr>
              <w:t>（1）与设定指标值相比，完成指标值的，记该指标所赋全部分值；</w:t>
            </w:r>
          </w:p>
          <w:p>
            <w:pPr>
              <w:pStyle w:val="32"/>
              <w:keepLines w:val="0"/>
              <w:pageBreakBefore w:val="0"/>
              <w:kinsoku/>
              <w:wordWrap/>
              <w:overflowPunct/>
              <w:topLinePunct w:val="0"/>
              <w:bidi w:val="0"/>
              <w:adjustRightInd/>
              <w:spacing w:before="65" w:line="360" w:lineRule="auto"/>
              <w:ind w:left="119" w:right="83" w:hanging="1"/>
              <w:jc w:val="both"/>
              <w:rPr>
                <w:rFonts w:ascii="Times New Roman" w:hAnsi="Times New Roman" w:eastAsia="宋体" w:cs="宋体"/>
                <w:spacing w:val="10"/>
                <w:sz w:val="22"/>
                <w:szCs w:val="22"/>
                <w:lang w:val="en-US" w:eastAsia="en-US" w:bidi="ar-SA"/>
              </w:rPr>
            </w:pPr>
            <w:r>
              <w:rPr>
                <w:rFonts w:ascii="Times New Roman" w:hAnsi="Times New Roman" w:eastAsia="宋体" w:cs="宋体"/>
                <w:spacing w:val="10"/>
                <w:sz w:val="22"/>
                <w:szCs w:val="22"/>
                <w:lang w:val="en-US" w:eastAsia="en-US" w:bidi="ar-SA"/>
              </w:rPr>
              <w:t>（2）对完成值高于指标值较多的，若是由于指标值设定明显偏低造成的，按照偏离度适当调减分值；</w:t>
            </w:r>
          </w:p>
          <w:p>
            <w:pPr>
              <w:keepLines w:val="0"/>
              <w:pageBreakBefore w:val="0"/>
              <w:kinsoku/>
              <w:wordWrap/>
              <w:overflowPunct/>
              <w:topLinePunct w:val="0"/>
              <w:bidi w:val="0"/>
              <w:adjustRightInd/>
              <w:spacing w:line="360" w:lineRule="auto"/>
              <w:rPr>
                <w:rFonts w:ascii="Times New Roman" w:hAnsi="Times New Roman" w:eastAsia="宋体" w:cs="宋体"/>
                <w:spacing w:val="10"/>
                <w:sz w:val="22"/>
                <w:szCs w:val="22"/>
                <w:lang w:val="en-US" w:eastAsia="en-US" w:bidi="ar-SA"/>
              </w:rPr>
            </w:pPr>
            <w:r>
              <w:rPr>
                <w:rFonts w:ascii="Times New Roman" w:hAnsi="Times New Roman" w:eastAsia="宋体" w:cs="宋体"/>
                <w:spacing w:val="10"/>
                <w:sz w:val="22"/>
                <w:szCs w:val="22"/>
                <w:lang w:val="en-US" w:eastAsia="en-US" w:bidi="ar-SA"/>
              </w:rPr>
              <w:t>（3）未完成指标值的，按照完成值与指标值的比例积分。</w:t>
            </w:r>
          </w:p>
        </w:tc>
        <w:tc>
          <w:tcPr>
            <w:tcW w:w="634" w:type="dxa"/>
            <w:tcBorders>
              <w:bottom w:val="single" w:color="auto" w:sz="4" w:space="0"/>
            </w:tcBorders>
            <w:vAlign w:val="top"/>
          </w:tcPr>
          <w:p>
            <w:pPr>
              <w:pStyle w:val="32"/>
              <w:keepLines w:val="0"/>
              <w:pageBreakBefore w:val="0"/>
              <w:kinsoku/>
              <w:wordWrap/>
              <w:overflowPunct/>
              <w:topLinePunct w:val="0"/>
              <w:bidi w:val="0"/>
              <w:adjustRightInd/>
              <w:spacing w:before="252" w:line="360" w:lineRule="auto"/>
              <w:ind w:left="281" w:leftChars="0"/>
              <w:rPr>
                <w:rFonts w:hint="default" w:ascii="Times New Roman" w:hAnsi="Times New Roman" w:eastAsia="宋体" w:cs="宋体"/>
                <w:spacing w:val="10"/>
                <w:sz w:val="22"/>
                <w:szCs w:val="22"/>
                <w:lang w:val="en-US" w:eastAsia="en-US" w:bidi="ar-SA"/>
              </w:rPr>
            </w:pPr>
            <w:r>
              <w:rPr>
                <w:rFonts w:hint="eastAsia" w:ascii="Times New Roman" w:hAnsi="Times New Roman" w:eastAsia="宋体" w:cs="宋体"/>
                <w:spacing w:val="10"/>
                <w:sz w:val="22"/>
                <w:szCs w:val="22"/>
                <w:lang w:val="en-US" w:eastAsia="zh-CN" w:bidi="ar-SA"/>
              </w:rPr>
              <w:t>5</w:t>
            </w:r>
          </w:p>
        </w:tc>
        <w:tc>
          <w:tcPr>
            <w:tcW w:w="600" w:type="dxa"/>
            <w:tcBorders>
              <w:bottom w:val="single" w:color="auto" w:sz="4" w:space="0"/>
              <w:right w:val="single" w:color="000000" w:sz="6" w:space="0"/>
            </w:tcBorders>
            <w:vAlign w:val="top"/>
          </w:tcPr>
          <w:p>
            <w:pPr>
              <w:pStyle w:val="32"/>
              <w:keepLines w:val="0"/>
              <w:pageBreakBefore w:val="0"/>
              <w:kinsoku/>
              <w:wordWrap/>
              <w:overflowPunct/>
              <w:topLinePunct w:val="0"/>
              <w:bidi w:val="0"/>
              <w:adjustRightInd/>
              <w:spacing w:before="252" w:line="360" w:lineRule="auto"/>
              <w:ind w:left="270" w:leftChars="0"/>
              <w:rPr>
                <w:rFonts w:hint="eastAsia" w:ascii="Times New Roman" w:hAnsi="Times New Roman" w:eastAsia="宋体" w:cs="宋体"/>
                <w:spacing w:val="10"/>
                <w:sz w:val="22"/>
                <w:szCs w:val="22"/>
                <w:lang w:val="en-US" w:eastAsia="zh-CN" w:bidi="ar-SA"/>
              </w:rPr>
            </w:pPr>
            <w:r>
              <w:rPr>
                <w:rFonts w:hint="eastAsia" w:ascii="Times New Roman" w:hAnsi="Times New Roman" w:eastAsia="宋体" w:cs="宋体"/>
                <w:spacing w:val="10"/>
                <w:sz w:val="22"/>
                <w:szCs w:val="22"/>
                <w:lang w:val="en-US" w:eastAsia="zh-CN" w:bidi="ar-SA"/>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1510" w:type="dxa"/>
            <w:tcBorders>
              <w:top w:val="single" w:color="auto" w:sz="4" w:space="0"/>
              <w:left w:val="single" w:color="000000" w:sz="6" w:space="0"/>
              <w:bottom w:val="single" w:color="auto" w:sz="4" w:space="0"/>
            </w:tcBorders>
            <w:vAlign w:val="center"/>
          </w:tcPr>
          <w:p>
            <w:pPr>
              <w:keepNext w:val="0"/>
              <w:keepLines w:val="0"/>
              <w:pageBreakBefore w:val="0"/>
              <w:widowControl/>
              <w:suppressLineNumbers w:val="0"/>
              <w:kinsoku/>
              <w:wordWrap/>
              <w:overflowPunct/>
              <w:topLinePunct w:val="0"/>
              <w:bidi w:val="0"/>
              <w:adjustRightInd/>
              <w:spacing w:line="360" w:lineRule="auto"/>
              <w:jc w:val="center"/>
              <w:textAlignment w:val="center"/>
              <w:rPr>
                <w:rFonts w:ascii="Times New Roman" w:hAnsi="Times New Roman" w:eastAsia="宋体" w:cs="宋体"/>
                <w:spacing w:val="10"/>
                <w:sz w:val="22"/>
                <w:szCs w:val="22"/>
                <w:lang w:val="en-US" w:eastAsia="en-US" w:bidi="ar-SA"/>
              </w:rPr>
            </w:pPr>
            <w:r>
              <w:rPr>
                <w:rFonts w:hint="eastAsia" w:ascii="Times New Roman" w:hAnsi="Times New Roman" w:eastAsia="宋体" w:cs="宋体"/>
                <w:spacing w:val="10"/>
                <w:sz w:val="22"/>
                <w:szCs w:val="22"/>
                <w:lang w:val="en-US" w:eastAsia="zh-CN" w:bidi="ar-SA"/>
              </w:rPr>
              <w:t>舆情及时处置率</w:t>
            </w:r>
          </w:p>
        </w:tc>
        <w:tc>
          <w:tcPr>
            <w:tcW w:w="2102" w:type="dxa"/>
            <w:tcBorders>
              <w:top w:val="single" w:color="auto" w:sz="4" w:space="0"/>
              <w:bottom w:val="single" w:color="auto" w:sz="4" w:space="0"/>
            </w:tcBorders>
            <w:vAlign w:val="top"/>
          </w:tcPr>
          <w:p>
            <w:pPr>
              <w:pStyle w:val="32"/>
              <w:keepLines w:val="0"/>
              <w:pageBreakBefore w:val="0"/>
              <w:kinsoku/>
              <w:wordWrap/>
              <w:overflowPunct/>
              <w:topLinePunct w:val="0"/>
              <w:bidi w:val="0"/>
              <w:adjustRightInd/>
              <w:spacing w:before="217" w:line="360" w:lineRule="auto"/>
              <w:ind w:left="113" w:leftChars="0" w:right="101" w:rightChars="0" w:hanging="1" w:firstLineChars="0"/>
              <w:rPr>
                <w:rFonts w:ascii="Times New Roman" w:hAnsi="Times New Roman" w:eastAsia="宋体" w:cs="宋体"/>
                <w:spacing w:val="10"/>
                <w:sz w:val="22"/>
                <w:szCs w:val="22"/>
                <w:lang w:val="en-US" w:eastAsia="en-US" w:bidi="ar-SA"/>
              </w:rPr>
            </w:pPr>
            <w:r>
              <w:rPr>
                <w:rFonts w:ascii="Times New Roman" w:hAnsi="Times New Roman" w:eastAsia="宋体" w:cs="宋体"/>
                <w:spacing w:val="10"/>
                <w:sz w:val="22"/>
                <w:szCs w:val="22"/>
                <w:lang w:val="en-US" w:eastAsia="en-US" w:bidi="ar-SA"/>
              </w:rPr>
              <w:t>反映</w:t>
            </w:r>
            <w:r>
              <w:rPr>
                <w:rFonts w:hint="eastAsia" w:ascii="Times New Roman" w:hAnsi="Times New Roman" w:eastAsia="宋体" w:cs="宋体"/>
                <w:spacing w:val="10"/>
                <w:sz w:val="22"/>
                <w:szCs w:val="22"/>
                <w:lang w:val="en-US" w:eastAsia="zh-CN" w:bidi="ar-SA"/>
              </w:rPr>
              <w:t>刊物稿件舆情</w:t>
            </w:r>
            <w:r>
              <w:rPr>
                <w:rFonts w:ascii="Times New Roman" w:hAnsi="Times New Roman" w:eastAsia="宋体" w:cs="宋体"/>
                <w:spacing w:val="10"/>
                <w:sz w:val="22"/>
                <w:szCs w:val="22"/>
                <w:lang w:val="en-US" w:eastAsia="en-US" w:bidi="ar-SA"/>
              </w:rPr>
              <w:t>及时性，指标值设为≥90%</w:t>
            </w:r>
          </w:p>
        </w:tc>
        <w:tc>
          <w:tcPr>
            <w:tcW w:w="3909" w:type="dxa"/>
            <w:vMerge w:val="continue"/>
            <w:tcBorders>
              <w:bottom w:val="single" w:color="auto" w:sz="4" w:space="0"/>
            </w:tcBorders>
            <w:vAlign w:val="top"/>
          </w:tcPr>
          <w:p>
            <w:pPr>
              <w:keepLines w:val="0"/>
              <w:pageBreakBefore w:val="0"/>
              <w:kinsoku/>
              <w:wordWrap/>
              <w:overflowPunct/>
              <w:topLinePunct w:val="0"/>
              <w:bidi w:val="0"/>
              <w:adjustRightInd/>
              <w:spacing w:line="360" w:lineRule="auto"/>
              <w:rPr>
                <w:rFonts w:ascii="Times New Roman" w:hAnsi="Times New Roman" w:eastAsia="宋体" w:cs="宋体"/>
                <w:spacing w:val="10"/>
                <w:sz w:val="22"/>
                <w:szCs w:val="22"/>
                <w:lang w:val="en-US" w:eastAsia="en-US" w:bidi="ar-SA"/>
              </w:rPr>
            </w:pPr>
          </w:p>
        </w:tc>
        <w:tc>
          <w:tcPr>
            <w:tcW w:w="634" w:type="dxa"/>
            <w:tcBorders>
              <w:top w:val="single" w:color="auto" w:sz="4" w:space="0"/>
              <w:bottom w:val="single" w:color="auto" w:sz="4" w:space="0"/>
            </w:tcBorders>
            <w:vAlign w:val="top"/>
          </w:tcPr>
          <w:p>
            <w:pPr>
              <w:pStyle w:val="32"/>
              <w:keepLines w:val="0"/>
              <w:pageBreakBefore w:val="0"/>
              <w:kinsoku/>
              <w:wordWrap/>
              <w:overflowPunct/>
              <w:topLinePunct w:val="0"/>
              <w:bidi w:val="0"/>
              <w:adjustRightInd/>
              <w:spacing w:before="252" w:line="360" w:lineRule="auto"/>
              <w:ind w:left="281" w:leftChars="0"/>
              <w:rPr>
                <w:rFonts w:ascii="Times New Roman" w:hAnsi="Times New Roman" w:eastAsia="宋体" w:cs="宋体"/>
                <w:spacing w:val="10"/>
                <w:sz w:val="22"/>
                <w:szCs w:val="22"/>
                <w:lang w:val="en-US" w:eastAsia="en-US" w:bidi="ar-SA"/>
              </w:rPr>
            </w:pPr>
            <w:r>
              <w:rPr>
                <w:rFonts w:hint="eastAsia" w:ascii="Times New Roman" w:hAnsi="Times New Roman" w:eastAsia="宋体" w:cs="宋体"/>
                <w:spacing w:val="10"/>
                <w:sz w:val="22"/>
                <w:szCs w:val="22"/>
                <w:lang w:val="en-US" w:eastAsia="zh-CN" w:bidi="ar-SA"/>
              </w:rPr>
              <w:t>5</w:t>
            </w:r>
          </w:p>
        </w:tc>
        <w:tc>
          <w:tcPr>
            <w:tcW w:w="600" w:type="dxa"/>
            <w:tcBorders>
              <w:top w:val="single" w:color="auto" w:sz="4" w:space="0"/>
              <w:bottom w:val="single" w:color="auto" w:sz="4" w:space="0"/>
              <w:right w:val="single" w:color="000000" w:sz="6" w:space="0"/>
            </w:tcBorders>
            <w:vAlign w:val="top"/>
          </w:tcPr>
          <w:p>
            <w:pPr>
              <w:pStyle w:val="32"/>
              <w:keepLines w:val="0"/>
              <w:pageBreakBefore w:val="0"/>
              <w:kinsoku/>
              <w:wordWrap/>
              <w:overflowPunct/>
              <w:topLinePunct w:val="0"/>
              <w:bidi w:val="0"/>
              <w:adjustRightInd/>
              <w:spacing w:before="252" w:line="360" w:lineRule="auto"/>
              <w:ind w:left="270" w:leftChars="0"/>
              <w:rPr>
                <w:rFonts w:ascii="Times New Roman" w:hAnsi="Times New Roman" w:eastAsia="宋体" w:cs="宋体"/>
                <w:spacing w:val="10"/>
                <w:sz w:val="22"/>
                <w:szCs w:val="22"/>
                <w:lang w:val="en-US" w:eastAsia="en-US" w:bidi="ar-SA"/>
              </w:rPr>
            </w:pPr>
            <w:r>
              <w:rPr>
                <w:rFonts w:hint="eastAsia" w:ascii="Times New Roman" w:hAnsi="Times New Roman" w:eastAsia="宋体" w:cs="宋体"/>
                <w:spacing w:val="10"/>
                <w:sz w:val="22"/>
                <w:szCs w:val="22"/>
                <w:lang w:val="en-US" w:eastAsia="zh-CN" w:bidi="ar-SA"/>
              </w:rPr>
              <w:t>5</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刊物出版周期每月出刊1期。</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olor w:val="auto"/>
          <w:sz w:val="32"/>
          <w:szCs w:val="32"/>
          <w:highlight w:val="none"/>
          <w:lang w:val="en-US" w:eastAsia="zh-CN"/>
        </w:rPr>
      </w:pPr>
      <w:r>
        <w:rPr>
          <w:rFonts w:hint="eastAsia" w:ascii="Times New Roman" w:hAnsi="Times New Roman" w:eastAsia="方正仿宋_GB2312"/>
          <w:color w:val="auto"/>
          <w:sz w:val="32"/>
          <w:szCs w:val="32"/>
          <w:highlight w:val="none"/>
          <w:lang w:val="en-US" w:eastAsia="zh-CN"/>
        </w:rPr>
        <w:t>舆情及时处置率，全年共12期杂志出版发行后未发生舆情事件。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b/>
          <w:bCs/>
          <w:color w:val="auto"/>
          <w:sz w:val="32"/>
          <w:szCs w:val="32"/>
          <w:highlight w:val="none"/>
          <w:lang w:val="zh-CN" w:eastAsia="zh-CN"/>
        </w:rPr>
        <w:t>（</w:t>
      </w:r>
      <w:r>
        <w:rPr>
          <w:rFonts w:hint="eastAsia" w:ascii="Times New Roman" w:hAnsi="Times New Roman" w:eastAsia="方正仿宋_GB2312" w:cs="仿宋"/>
          <w:b/>
          <w:bCs/>
          <w:color w:val="auto"/>
          <w:sz w:val="32"/>
          <w:szCs w:val="32"/>
          <w:highlight w:val="none"/>
          <w:lang w:val="en-US" w:eastAsia="zh-CN"/>
        </w:rPr>
        <w:t>3</w:t>
      </w:r>
      <w:r>
        <w:rPr>
          <w:rFonts w:hint="eastAsia" w:ascii="Times New Roman" w:hAnsi="Times New Roman" w:eastAsia="方正仿宋_GB2312" w:cs="仿宋"/>
          <w:b/>
          <w:bCs/>
          <w:color w:val="auto"/>
          <w:sz w:val="32"/>
          <w:szCs w:val="32"/>
          <w:highlight w:val="none"/>
          <w:lang w:val="zh-CN" w:eastAsia="zh-CN"/>
        </w:rPr>
        <w:t>）</w:t>
      </w:r>
      <w:r>
        <w:rPr>
          <w:rFonts w:hint="eastAsia" w:ascii="Times New Roman" w:hAnsi="Times New Roman" w:eastAsia="方正仿宋_GB2312" w:cs="仿宋"/>
          <w:b/>
          <w:bCs/>
          <w:color w:val="auto"/>
          <w:sz w:val="32"/>
          <w:szCs w:val="32"/>
          <w:highlight w:val="none"/>
          <w:lang w:val="en-US" w:eastAsia="zh-CN"/>
        </w:rPr>
        <w:t>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综上，时效指标环节达到了项目预期管控目标。</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outlineLvl w:val="2"/>
        <w:rPr>
          <w:rFonts w:hint="default" w:ascii="Times New Roman" w:hAnsi="Times New Roman" w:eastAsia="方正仿宋_GB2312" w:cs="仿宋"/>
          <w:b/>
          <w:sz w:val="32"/>
          <w:szCs w:val="32"/>
          <w:highlight w:val="none"/>
          <w:lang w:val="en-US" w:eastAsia="zh-CN"/>
        </w:rPr>
      </w:pPr>
      <w:bookmarkStart w:id="217" w:name="_Toc14000"/>
      <w:bookmarkStart w:id="218" w:name="_Toc24407"/>
      <w:bookmarkStart w:id="219" w:name="_Toc4322"/>
      <w:bookmarkStart w:id="220" w:name="_Toc30941"/>
      <w:bookmarkStart w:id="221" w:name="_Toc2998"/>
      <w:bookmarkStart w:id="222" w:name="_Toc30265"/>
      <w:bookmarkStart w:id="223" w:name="_Toc20936"/>
      <w:bookmarkStart w:id="224" w:name="_Toc20069"/>
      <w:bookmarkStart w:id="225" w:name="_Toc18084"/>
      <w:bookmarkStart w:id="226" w:name="_Toc7962"/>
      <w:r>
        <w:rPr>
          <w:rFonts w:hint="eastAsia" w:ascii="Times New Roman" w:hAnsi="Times New Roman" w:eastAsia="方正仿宋_GB2312" w:cs="仿宋"/>
          <w:b/>
          <w:sz w:val="32"/>
          <w:szCs w:val="32"/>
          <w:highlight w:val="none"/>
          <w:lang w:val="en-US" w:eastAsia="zh-CN"/>
        </w:rPr>
        <w:t>4</w:t>
      </w:r>
      <w:r>
        <w:rPr>
          <w:rFonts w:hint="eastAsia" w:ascii="Times New Roman" w:hAnsi="Times New Roman" w:eastAsia="方正仿宋_GB2312" w:cs="仿宋"/>
          <w:b/>
          <w:sz w:val="32"/>
          <w:szCs w:val="32"/>
          <w:highlight w:val="none"/>
          <w:lang w:val="zh-CN"/>
        </w:rPr>
        <w:t>.</w:t>
      </w:r>
      <w:r>
        <w:rPr>
          <w:rFonts w:hint="eastAsia" w:ascii="Times New Roman" w:hAnsi="Times New Roman" w:eastAsia="方正仿宋_GB2312" w:cs="仿宋"/>
          <w:b/>
          <w:sz w:val="32"/>
          <w:szCs w:val="32"/>
          <w:highlight w:val="none"/>
          <w:lang w:val="en-US" w:eastAsia="zh-CN"/>
        </w:rPr>
        <w:t>成本指标</w:t>
      </w:r>
      <w:bookmarkEnd w:id="217"/>
      <w:bookmarkEnd w:id="218"/>
      <w:bookmarkEnd w:id="219"/>
      <w:bookmarkEnd w:id="220"/>
      <w:bookmarkEnd w:id="221"/>
      <w:bookmarkEnd w:id="222"/>
      <w:bookmarkEnd w:id="223"/>
      <w:bookmarkEnd w:id="224"/>
      <w:bookmarkEnd w:id="225"/>
      <w:bookmarkEnd w:id="226"/>
    </w:p>
    <w:tbl>
      <w:tblPr>
        <w:tblStyle w:val="33"/>
        <w:tblpPr w:leftFromText="180" w:rightFromText="180" w:vertAnchor="text" w:horzAnchor="page" w:tblpX="1609" w:tblpY="582"/>
        <w:tblOverlap w:val="never"/>
        <w:tblW w:w="882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2"/>
        <w:gridCol w:w="2136"/>
        <w:gridCol w:w="3865"/>
        <w:gridCol w:w="657"/>
        <w:gridCol w:w="6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532" w:type="dxa"/>
            <w:tcBorders>
              <w:top w:val="single" w:color="000000" w:sz="6" w:space="0"/>
              <w:left w:val="single" w:color="000000" w:sz="6" w:space="0"/>
            </w:tcBorders>
            <w:vAlign w:val="top"/>
          </w:tcPr>
          <w:p>
            <w:pPr>
              <w:pStyle w:val="32"/>
              <w:keepLines w:val="0"/>
              <w:pageBreakBefore w:val="0"/>
              <w:kinsoku/>
              <w:wordWrap/>
              <w:overflowPunct/>
              <w:topLinePunct w:val="0"/>
              <w:bidi w:val="0"/>
              <w:adjustRightInd/>
              <w:spacing w:before="102" w:line="360" w:lineRule="auto"/>
              <w:jc w:val="center"/>
              <w:rPr>
                <w:rFonts w:ascii="Times New Roman" w:hAnsi="Times New Roman"/>
                <w:sz w:val="22"/>
                <w:szCs w:val="22"/>
              </w:rPr>
            </w:pPr>
            <w:r>
              <w:rPr>
                <w:rFonts w:ascii="Times New Roman" w:hAnsi="Times New Roman"/>
                <w:spacing w:val="-4"/>
                <w:sz w:val="22"/>
                <w:szCs w:val="22"/>
              </w:rPr>
              <w:t>三级指标</w:t>
            </w:r>
          </w:p>
        </w:tc>
        <w:tc>
          <w:tcPr>
            <w:tcW w:w="2136"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ascii="Times New Roman" w:hAnsi="Times New Roman"/>
                <w:sz w:val="22"/>
                <w:szCs w:val="22"/>
              </w:rPr>
            </w:pPr>
            <w:r>
              <w:rPr>
                <w:rFonts w:ascii="Times New Roman" w:hAnsi="Times New Roman"/>
                <w:spacing w:val="-5"/>
                <w:sz w:val="22"/>
                <w:szCs w:val="22"/>
              </w:rPr>
              <w:t>指标解释</w:t>
            </w:r>
          </w:p>
        </w:tc>
        <w:tc>
          <w:tcPr>
            <w:tcW w:w="3865"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ascii="Times New Roman" w:hAnsi="Times New Roman"/>
                <w:sz w:val="22"/>
                <w:szCs w:val="22"/>
              </w:rPr>
            </w:pPr>
            <w:r>
              <w:rPr>
                <w:rFonts w:ascii="Times New Roman" w:hAnsi="Times New Roman"/>
                <w:spacing w:val="-4"/>
                <w:sz w:val="22"/>
                <w:szCs w:val="22"/>
              </w:rPr>
              <w:t>评价标准</w:t>
            </w:r>
          </w:p>
        </w:tc>
        <w:tc>
          <w:tcPr>
            <w:tcW w:w="657"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ascii="Times New Roman" w:hAnsi="Times New Roman"/>
                <w:sz w:val="22"/>
                <w:szCs w:val="22"/>
              </w:rPr>
            </w:pPr>
            <w:r>
              <w:rPr>
                <w:rFonts w:ascii="Times New Roman" w:hAnsi="Times New Roman"/>
                <w:spacing w:val="-7"/>
                <w:sz w:val="22"/>
                <w:szCs w:val="22"/>
              </w:rPr>
              <w:t>分值</w:t>
            </w:r>
          </w:p>
        </w:tc>
        <w:tc>
          <w:tcPr>
            <w:tcW w:w="634" w:type="dxa"/>
            <w:tcBorders>
              <w:top w:val="single" w:color="000000" w:sz="6" w:space="0"/>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ascii="Times New Roman" w:hAnsi="Times New Roman"/>
                <w:sz w:val="22"/>
                <w:szCs w:val="22"/>
              </w:rPr>
            </w:pPr>
            <w:r>
              <w:rPr>
                <w:rFonts w:ascii="Times New Roman" w:hAnsi="Times New Roman"/>
                <w:spacing w:val="-6"/>
                <w:sz w:val="22"/>
                <w:szCs w:val="2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8" w:hRule="atLeast"/>
        </w:trPr>
        <w:tc>
          <w:tcPr>
            <w:tcW w:w="1532" w:type="dxa"/>
            <w:tcBorders>
              <w:top w:val="single" w:color="auto" w:sz="4" w:space="0"/>
              <w:left w:val="single" w:color="000000" w:sz="6" w:space="0"/>
            </w:tcBorders>
            <w:vAlign w:val="center"/>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印刷费成本</w:t>
            </w:r>
          </w:p>
        </w:tc>
        <w:tc>
          <w:tcPr>
            <w:tcW w:w="2136" w:type="dxa"/>
            <w:tcBorders>
              <w:top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反映刊物的印刷成本节约情况，指标值设为≤45万元</w:t>
            </w:r>
          </w:p>
        </w:tc>
        <w:tc>
          <w:tcPr>
            <w:tcW w:w="3865" w:type="dxa"/>
            <w:vMerge w:val="restart"/>
            <w:tcBorders>
              <w:top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（1）与设定指标值相比，完成指标值的，记该指标所赋全部分值；</w:t>
            </w: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（2）对完成值高于指标值较多的，若是由于指标值设定明显偏低造成的，按照偏离度适当调减分值；</w:t>
            </w: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（3）未完成指标值的，按照完成值与指标值的比例积分。</w:t>
            </w:r>
          </w:p>
        </w:tc>
        <w:tc>
          <w:tcPr>
            <w:tcW w:w="657" w:type="dxa"/>
            <w:tcBorders>
              <w:top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5</w:t>
            </w:r>
          </w:p>
        </w:tc>
        <w:tc>
          <w:tcPr>
            <w:tcW w:w="634" w:type="dxa"/>
            <w:tcBorders>
              <w:top w:val="single" w:color="auto" w:sz="4" w:space="0"/>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9" w:hRule="atLeast"/>
        </w:trPr>
        <w:tc>
          <w:tcPr>
            <w:tcW w:w="1532" w:type="dxa"/>
            <w:tcBorders>
              <w:left w:val="single" w:color="000000" w:sz="6" w:space="0"/>
              <w:bottom w:val="single" w:color="000000" w:sz="6" w:space="0"/>
            </w:tcBorders>
            <w:vAlign w:val="center"/>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刊物编辑人员工资</w:t>
            </w:r>
          </w:p>
        </w:tc>
        <w:tc>
          <w:tcPr>
            <w:tcW w:w="2136" w:type="dxa"/>
            <w:tcBorders>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反映该项目绩效工资对刊物编辑人员的补贴情况，指标值设为≤56万元</w:t>
            </w:r>
          </w:p>
        </w:tc>
        <w:tc>
          <w:tcPr>
            <w:tcW w:w="3865" w:type="dxa"/>
            <w:vMerge w:val="continue"/>
            <w:tcBorders>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tc>
        <w:tc>
          <w:tcPr>
            <w:tcW w:w="657" w:type="dxa"/>
            <w:tcBorders>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5</w:t>
            </w:r>
          </w:p>
        </w:tc>
        <w:tc>
          <w:tcPr>
            <w:tcW w:w="634" w:type="dxa"/>
            <w:tcBorders>
              <w:bottom w:val="single" w:color="000000" w:sz="6" w:space="0"/>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5</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b w:val="0"/>
          <w:bCs w:val="0"/>
          <w:sz w:val="32"/>
          <w:szCs w:val="32"/>
          <w:highlight w:val="none"/>
          <w:lang w:val="en-US" w:eastAsia="zh-CN"/>
        </w:rPr>
      </w:pPr>
      <w:r>
        <w:rPr>
          <w:rFonts w:hint="eastAsia" w:ascii="Times New Roman" w:hAnsi="Times New Roman" w:eastAsia="方正仿宋_GB2312" w:cs="仿宋"/>
          <w:b w:val="0"/>
          <w:bCs w:val="0"/>
          <w:sz w:val="32"/>
          <w:szCs w:val="32"/>
          <w:highlight w:val="none"/>
          <w:lang w:val="en-US" w:eastAsia="zh-CN"/>
        </w:rPr>
        <w:t>经核查相关支付凭证及明细账，印刷费成本45万元；刊物编辑人员工资56万元，均未超过预算成本。</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Times New Roman" w:hAnsi="Times New Roman" w:eastAsia="方正仿宋_GB2312"/>
          <w:color w:val="auto"/>
          <w:sz w:val="32"/>
          <w:szCs w:val="32"/>
          <w:highlight w:val="none"/>
          <w:lang w:val="en-US" w:eastAsia="zh-CN"/>
        </w:rPr>
      </w:pPr>
      <w:r>
        <w:rPr>
          <w:rFonts w:hint="eastAsia" w:ascii="Times New Roman" w:hAnsi="Times New Roman" w:eastAsia="方正仿宋_GB2312"/>
          <w:color w:val="auto"/>
          <w:sz w:val="32"/>
          <w:szCs w:val="32"/>
          <w:highlight w:val="none"/>
          <w:lang w:val="en-US" w:eastAsia="zh-CN"/>
        </w:rPr>
        <w:t>截止到项目评价时，项目总成本101万元，预算成本101万元，项目执行实际成本等于预算成本；成本控制率达到100%。</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3</w:t>
      </w: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分析</w:t>
      </w:r>
      <w:r>
        <w:rPr>
          <w:rFonts w:hint="eastAsia" w:ascii="Times New Roman" w:hAnsi="Times New Roman" w:eastAsia="方正仿宋_GB2312" w:cs="仿宋"/>
          <w:b/>
          <w:bCs/>
          <w:color w:val="auto"/>
          <w:sz w:val="32"/>
          <w:szCs w:val="32"/>
          <w:highlight w:val="none"/>
          <w:lang w:val="en-US" w:eastAsia="zh-CN"/>
        </w:rPr>
        <w:t>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color w:val="auto"/>
          <w:sz w:val="32"/>
          <w:szCs w:val="32"/>
          <w:highlight w:val="none"/>
          <w:lang w:val="en-US" w:eastAsia="zh-CN"/>
        </w:rPr>
      </w:pPr>
      <w:r>
        <w:rPr>
          <w:rFonts w:hint="eastAsia" w:ascii="Times New Roman" w:hAnsi="Times New Roman" w:eastAsia="方正仿宋_GB2312" w:cs="仿宋"/>
          <w:color w:val="auto"/>
          <w:sz w:val="32"/>
          <w:szCs w:val="32"/>
          <w:highlight w:val="none"/>
          <w:lang w:val="en-US" w:eastAsia="zh-CN"/>
        </w:rPr>
        <w:t>综上，成本指标环节达到了项目预期管控目标。</w:t>
      </w:r>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both"/>
        <w:textAlignment w:val="auto"/>
        <w:rPr>
          <w:rFonts w:hint="eastAsia" w:ascii="Times New Roman" w:hAnsi="Times New Roman" w:eastAsia="方正仿宋_GB2312" w:cs="仿宋"/>
          <w:sz w:val="32"/>
          <w:szCs w:val="32"/>
          <w:highlight w:val="none"/>
          <w:lang w:val="en-US"/>
        </w:rPr>
      </w:pPr>
      <w:bookmarkStart w:id="227" w:name="_Toc13400"/>
      <w:bookmarkStart w:id="228" w:name="_Toc22832"/>
      <w:r>
        <w:rPr>
          <w:rFonts w:hint="eastAsia" w:ascii="Times New Roman" w:hAnsi="Times New Roman" w:eastAsia="方正仿宋_GB2312" w:cs="仿宋"/>
          <w:sz w:val="32"/>
          <w:szCs w:val="32"/>
          <w:highlight w:val="none"/>
          <w:lang w:val="en-US"/>
        </w:rPr>
        <w:t>（</w:t>
      </w:r>
      <w:r>
        <w:rPr>
          <w:rFonts w:hint="eastAsia" w:ascii="Times New Roman" w:hAnsi="Times New Roman" w:eastAsia="方正仿宋_GB2312" w:cs="仿宋"/>
          <w:sz w:val="32"/>
          <w:szCs w:val="32"/>
          <w:highlight w:val="none"/>
          <w:lang w:val="en-US" w:eastAsia="zh-CN"/>
        </w:rPr>
        <w:t>四</w:t>
      </w:r>
      <w:r>
        <w:rPr>
          <w:rFonts w:hint="eastAsia" w:ascii="Times New Roman" w:hAnsi="Times New Roman" w:eastAsia="方正仿宋_GB2312" w:cs="仿宋"/>
          <w:sz w:val="32"/>
          <w:szCs w:val="32"/>
          <w:highlight w:val="none"/>
          <w:lang w:val="en-US"/>
        </w:rPr>
        <w:t>）项目</w:t>
      </w:r>
      <w:r>
        <w:rPr>
          <w:rFonts w:hint="eastAsia" w:ascii="Times New Roman" w:hAnsi="Times New Roman" w:eastAsia="方正仿宋_GB2312" w:cs="仿宋"/>
          <w:sz w:val="32"/>
          <w:szCs w:val="32"/>
          <w:highlight w:val="none"/>
          <w:lang w:val="en-US" w:eastAsia="zh-CN"/>
        </w:rPr>
        <w:t>效益</w:t>
      </w:r>
      <w:bookmarkEnd w:id="227"/>
      <w:bookmarkEnd w:id="228"/>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outlineLvl w:val="2"/>
        <w:rPr>
          <w:rFonts w:hint="default" w:ascii="Times New Roman" w:hAnsi="Times New Roman" w:eastAsia="方正仿宋_GB2312" w:cs="仿宋"/>
          <w:b/>
          <w:sz w:val="32"/>
          <w:szCs w:val="32"/>
          <w:highlight w:val="none"/>
          <w:lang w:val="en-US" w:eastAsia="zh-CN"/>
        </w:rPr>
      </w:pPr>
      <w:bookmarkStart w:id="229" w:name="_Toc2595"/>
      <w:bookmarkStart w:id="230" w:name="_Toc13117"/>
      <w:bookmarkStart w:id="231" w:name="_Toc20253"/>
      <w:bookmarkStart w:id="232" w:name="_Toc14230"/>
      <w:bookmarkStart w:id="233" w:name="_Toc31964"/>
      <w:bookmarkStart w:id="234" w:name="_Toc5857"/>
      <w:bookmarkStart w:id="235" w:name="_Toc9759"/>
      <w:bookmarkStart w:id="236" w:name="_Toc17238"/>
      <w:bookmarkStart w:id="237" w:name="_Toc4218"/>
      <w:bookmarkStart w:id="238" w:name="_Toc32538"/>
      <w:r>
        <w:rPr>
          <w:rFonts w:hint="eastAsia" w:ascii="Times New Roman" w:hAnsi="Times New Roman" w:eastAsia="方正仿宋_GB2312" w:cs="仿宋"/>
          <w:b/>
          <w:sz w:val="32"/>
          <w:szCs w:val="32"/>
          <w:highlight w:val="none"/>
          <w:lang w:val="zh-CN"/>
        </w:rPr>
        <w:t>1.</w:t>
      </w:r>
      <w:r>
        <w:rPr>
          <w:rFonts w:hint="eastAsia" w:ascii="Times New Roman" w:hAnsi="Times New Roman" w:eastAsia="方正仿宋_GB2312" w:cs="仿宋"/>
          <w:b/>
          <w:sz w:val="32"/>
          <w:szCs w:val="32"/>
          <w:highlight w:val="none"/>
          <w:lang w:val="en-US" w:eastAsia="zh-CN"/>
        </w:rPr>
        <w:t>社会效益</w:t>
      </w:r>
      <w:bookmarkEnd w:id="229"/>
      <w:bookmarkEnd w:id="230"/>
      <w:bookmarkEnd w:id="231"/>
      <w:bookmarkEnd w:id="232"/>
      <w:bookmarkEnd w:id="233"/>
      <w:bookmarkEnd w:id="234"/>
      <w:bookmarkEnd w:id="235"/>
      <w:bookmarkEnd w:id="236"/>
      <w:bookmarkEnd w:id="237"/>
      <w:bookmarkEnd w:id="238"/>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879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4"/>
        <w:gridCol w:w="2768"/>
        <w:gridCol w:w="3306"/>
        <w:gridCol w:w="724"/>
        <w:gridCol w:w="6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314" w:type="dxa"/>
            <w:tcBorders>
              <w:top w:val="single" w:color="000000" w:sz="6" w:space="0"/>
              <w:left w:val="single" w:color="000000" w:sz="6" w:space="0"/>
              <w:bottom w:val="nil"/>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三级指标</w:t>
            </w:r>
          </w:p>
        </w:tc>
        <w:tc>
          <w:tcPr>
            <w:tcW w:w="2768" w:type="dxa"/>
            <w:tcBorders>
              <w:top w:val="single" w:color="000000" w:sz="6" w:space="0"/>
              <w:bottom w:val="nil"/>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指标解释</w:t>
            </w:r>
          </w:p>
        </w:tc>
        <w:tc>
          <w:tcPr>
            <w:tcW w:w="3306" w:type="dxa"/>
            <w:tcBorders>
              <w:top w:val="single" w:color="000000" w:sz="6" w:space="0"/>
              <w:bottom w:val="nil"/>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评价标准</w:t>
            </w:r>
          </w:p>
        </w:tc>
        <w:tc>
          <w:tcPr>
            <w:tcW w:w="724" w:type="dxa"/>
            <w:tcBorders>
              <w:top w:val="single" w:color="000000" w:sz="6" w:space="0"/>
              <w:bottom w:val="nil"/>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分值</w:t>
            </w:r>
          </w:p>
        </w:tc>
        <w:tc>
          <w:tcPr>
            <w:tcW w:w="684" w:type="dxa"/>
            <w:tcBorders>
              <w:top w:val="single" w:color="000000" w:sz="6" w:space="0"/>
              <w:bottom w:val="nil"/>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314" w:type="dxa"/>
            <w:tcBorders>
              <w:top w:val="nil"/>
              <w:left w:val="single" w:color="000000" w:sz="6" w:space="0"/>
              <w:bottom w:val="nil"/>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发挥党刊的理论宣传和实践指导功能</w:t>
            </w:r>
          </w:p>
        </w:tc>
        <w:tc>
          <w:tcPr>
            <w:tcW w:w="2768" w:type="dxa"/>
            <w:tcBorders>
              <w:top w:val="nil"/>
              <w:bottom w:val="nil"/>
            </w:tcBorders>
            <w:vAlign w:val="center"/>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反映项目发挥党刊的理论宣传和实践指导功能，指标值设为有效发挥</w:t>
            </w:r>
          </w:p>
        </w:tc>
        <w:tc>
          <w:tcPr>
            <w:tcW w:w="3306" w:type="dxa"/>
            <w:vMerge w:val="restart"/>
            <w:tcBorders>
              <w:top w:val="nil"/>
              <w:bottom w:val="nil"/>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与设定指标值相比，完成指标值的，记该指标所赋全部分值；</w:t>
            </w: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（2）对完成值高于指标值较多的，若是由于指标值设定明显偏低造成的，按照偏离度适当调减分值；</w:t>
            </w: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（3）未完成指标值的，按照完成值与指标值的比例积分。</w:t>
            </w:r>
          </w:p>
        </w:tc>
        <w:tc>
          <w:tcPr>
            <w:tcW w:w="724" w:type="dxa"/>
            <w:tcBorders>
              <w:top w:val="nil"/>
              <w:bottom w:val="nil"/>
            </w:tcBorders>
            <w:vAlign w:val="top"/>
          </w:tcPr>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10</w:t>
            </w:r>
          </w:p>
        </w:tc>
        <w:tc>
          <w:tcPr>
            <w:tcW w:w="684" w:type="dxa"/>
            <w:tcBorders>
              <w:top w:val="nil"/>
              <w:bottom w:val="nil"/>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2" w:hRule="atLeast"/>
        </w:trPr>
        <w:tc>
          <w:tcPr>
            <w:tcW w:w="1314" w:type="dxa"/>
            <w:tcBorders>
              <w:top w:val="nil"/>
              <w:left w:val="single" w:color="000000" w:sz="6" w:space="0"/>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增强刊物可读性和影响力</w:t>
            </w:r>
          </w:p>
        </w:tc>
        <w:tc>
          <w:tcPr>
            <w:tcW w:w="2768" w:type="dxa"/>
            <w:tcBorders>
              <w:top w:val="nil"/>
              <w:bottom w:val="single" w:color="000000" w:sz="6" w:space="0"/>
            </w:tcBorders>
            <w:vAlign w:val="center"/>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反映刊物可读性和影响力，指标值设为持续增强</w:t>
            </w:r>
          </w:p>
        </w:tc>
        <w:tc>
          <w:tcPr>
            <w:tcW w:w="3306" w:type="dxa"/>
            <w:vMerge w:val="continue"/>
            <w:tcBorders>
              <w:top w:val="nil"/>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tc>
        <w:tc>
          <w:tcPr>
            <w:tcW w:w="724" w:type="dxa"/>
            <w:tcBorders>
              <w:top w:val="nil"/>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10</w:t>
            </w:r>
          </w:p>
        </w:tc>
        <w:tc>
          <w:tcPr>
            <w:tcW w:w="684" w:type="dxa"/>
            <w:tcBorders>
              <w:top w:val="nil"/>
              <w:bottom w:val="single" w:color="000000" w:sz="6" w:space="0"/>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default"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10</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zh-CN" w:eastAsia="zh-CN"/>
        </w:rPr>
        <w:t>（</w:t>
      </w:r>
      <w:r>
        <w:rPr>
          <w:rFonts w:hint="eastAsia" w:ascii="Times New Roman" w:hAnsi="Times New Roman" w:eastAsia="方正仿宋_GB2312" w:cs="仿宋"/>
          <w:b/>
          <w:bCs/>
          <w:sz w:val="32"/>
          <w:szCs w:val="32"/>
          <w:highlight w:val="none"/>
          <w:lang w:val="en-US" w:eastAsia="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方正仿宋_GB2312" w:cs="仿宋"/>
          <w:sz w:val="32"/>
          <w:szCs w:val="32"/>
          <w:highlight w:val="none"/>
          <w:lang w:val="en-US" w:eastAsia="zh-CN"/>
        </w:rPr>
        <w:t>提升党刊的有效传播力，提升效果显著。一是</w:t>
      </w:r>
      <w:r>
        <w:rPr>
          <w:rFonts w:hint="eastAsia" w:ascii="Times New Roman" w:hAnsi="Times New Roman" w:eastAsia="仿宋_GB2312" w:cs="仿宋_GB2312"/>
          <w:b w:val="0"/>
          <w:bCs w:val="0"/>
          <w:sz w:val="32"/>
          <w:szCs w:val="32"/>
        </w:rPr>
        <w:t>聚焦习</w:t>
      </w:r>
      <w:r>
        <w:rPr>
          <w:rFonts w:hint="eastAsia" w:ascii="Times New Roman" w:hAnsi="Times New Roman" w:eastAsia="仿宋_GB2312" w:cs="仿宋_GB2312"/>
          <w:sz w:val="32"/>
          <w:szCs w:val="32"/>
        </w:rPr>
        <w:t>近平总书记重要文章和重要讲话，坚持第一时间全文译发，后续以“金句”等形式二次传播为主要宣传方式。截至目前共发布相关稿件30余篇，其中包括在“实践蒙文版”微信公众号首译首发《求是》杂志发表的习近平总书记重要文章24篇</w:t>
      </w:r>
      <w:bookmarkStart w:id="239" w:name="OLE_LINK2"/>
      <w:bookmarkStart w:id="240" w:name="OLE_LINK1"/>
      <w:r>
        <w:rPr>
          <w:rFonts w:hint="eastAsia" w:ascii="Times New Roman" w:hAnsi="Times New Roman" w:eastAsia="仿宋_GB2312" w:cs="仿宋_GB2312"/>
          <w:sz w:val="32"/>
          <w:szCs w:val="32"/>
        </w:rPr>
        <w:t>以及习近平总书记在全国生态环境保护大会、纪念中国人民抗日战争暨世界反法西斯战争胜利80周年大会等重要会议中的重要讲话5篇</w:t>
      </w:r>
      <w:bookmarkEnd w:id="239"/>
      <w:bookmarkEnd w:id="240"/>
      <w:r>
        <w:rPr>
          <w:rFonts w:hint="eastAsia" w:ascii="Times New Roman" w:hAnsi="Times New Roman" w:eastAsia="仿宋_GB2312" w:cs="仿宋_GB2312"/>
          <w:sz w:val="32"/>
          <w:szCs w:val="32"/>
        </w:rPr>
        <w:t>。上述重要稿件的译文多次被“内蒙古自治区人民政府蒙古文发布”“锡林郭勒盟行政公署蒙古文网站”“柴达木报蒙文版”等区内外媒体平台广泛转发，得到了良好的传播效果。</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sz w:val="32"/>
          <w:szCs w:val="32"/>
          <w:highlight w:val="none"/>
          <w:lang w:val="en-US" w:eastAsia="zh-CN"/>
        </w:rPr>
      </w:pPr>
      <w:r>
        <w:rPr>
          <w:rFonts w:hint="eastAsia" w:ascii="Times New Roman" w:hAnsi="Times New Roman" w:eastAsia="仿宋_GB2312" w:cs="仿宋_GB2312"/>
          <w:b w:val="0"/>
          <w:bCs w:val="0"/>
          <w:sz w:val="32"/>
          <w:szCs w:val="32"/>
        </w:rPr>
        <w:t>二是在采访</w:t>
      </w:r>
      <w:r>
        <w:rPr>
          <w:rFonts w:hint="eastAsia" w:ascii="Times New Roman" w:hAnsi="Times New Roman" w:eastAsia="仿宋_GB2312" w:cs="仿宋_GB2312"/>
          <w:sz w:val="32"/>
          <w:szCs w:val="32"/>
        </w:rPr>
        <w:t>调研计划中结合重要节点进行了重点谋划。在习近平总书记考察内蒙古两周年之际，编辑部认真制定宣传报道计划，深入走访各盟市形成系列成果：《传统农牧业向现代农牧业转型升级的内蒙古实践》《建设“全国肉牛产业第一重镇”的通辽底气》等综述报道、深度报道系统呈现了现代农牧业转型路径；三集系列专题视频《苏尼特牧民锁沙守绿记》在“实践融媒”“实践蒙文版”微信公众号先后推出国家通用语言和蒙古语两个版本，以鲜活的动态影像展现了治沙实践，累计收获5.6万次播放。</w:t>
      </w:r>
      <w:r>
        <w:rPr>
          <w:rFonts w:hint="eastAsia" w:ascii="Times New Roman" w:hAnsi="Times New Roman" w:eastAsia="方正仿宋_GB2312" w:cs="仿宋"/>
          <w:sz w:val="32"/>
          <w:szCs w:val="32"/>
          <w:highlight w:val="none"/>
          <w:lang w:val="en-US" w:eastAsia="zh-CN"/>
        </w:rPr>
        <w:t>圆满完成了各项宣传任务，有待进一步提升实践指导功能。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（3）分析结论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综上，社会效益环节</w:t>
      </w:r>
      <w:r>
        <w:rPr>
          <w:rFonts w:hint="eastAsia" w:ascii="Times New Roman" w:hAnsi="Times New Roman" w:eastAsia="方正仿宋_GB2312" w:cs="仿宋"/>
          <w:color w:val="auto"/>
          <w:sz w:val="32"/>
          <w:szCs w:val="32"/>
          <w:highlight w:val="none"/>
          <w:lang w:val="en-US" w:eastAsia="zh-CN"/>
        </w:rPr>
        <w:t>达到项目预期管控目标。</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outlineLvl w:val="2"/>
        <w:rPr>
          <w:rFonts w:hint="default" w:ascii="Times New Roman" w:hAnsi="Times New Roman" w:eastAsia="方正仿宋_GB2312" w:cs="仿宋"/>
          <w:b/>
          <w:sz w:val="32"/>
          <w:szCs w:val="32"/>
          <w:highlight w:val="none"/>
          <w:lang w:val="en-US" w:eastAsia="zh-CN"/>
        </w:rPr>
      </w:pPr>
      <w:bookmarkStart w:id="241" w:name="_Toc2735"/>
      <w:bookmarkStart w:id="242" w:name="_Toc28637"/>
      <w:bookmarkStart w:id="243" w:name="_Toc13478"/>
      <w:bookmarkStart w:id="244" w:name="_Toc2709"/>
      <w:bookmarkStart w:id="245" w:name="_Toc31156"/>
      <w:bookmarkStart w:id="246" w:name="_Toc12966"/>
      <w:bookmarkStart w:id="247" w:name="_Toc80"/>
      <w:bookmarkStart w:id="248" w:name="_Toc23493"/>
      <w:bookmarkStart w:id="249" w:name="_Toc26119"/>
      <w:bookmarkStart w:id="250" w:name="_Toc8916"/>
      <w:r>
        <w:rPr>
          <w:rFonts w:hint="eastAsia" w:ascii="Times New Roman" w:hAnsi="Times New Roman" w:eastAsia="方正仿宋_GB2312" w:cs="仿宋"/>
          <w:b/>
          <w:sz w:val="32"/>
          <w:szCs w:val="32"/>
          <w:highlight w:val="none"/>
          <w:lang w:val="en-US" w:eastAsia="zh-CN"/>
        </w:rPr>
        <w:t>2</w:t>
      </w:r>
      <w:r>
        <w:rPr>
          <w:rFonts w:hint="eastAsia" w:ascii="Times New Roman" w:hAnsi="Times New Roman" w:eastAsia="方正仿宋_GB2312" w:cs="仿宋"/>
          <w:b/>
          <w:sz w:val="32"/>
          <w:szCs w:val="32"/>
          <w:highlight w:val="none"/>
          <w:lang w:val="zh-CN"/>
        </w:rPr>
        <w:t>.</w:t>
      </w:r>
      <w:r>
        <w:rPr>
          <w:rFonts w:hint="eastAsia" w:ascii="Times New Roman" w:hAnsi="Times New Roman" w:eastAsia="方正仿宋_GB2312" w:cs="仿宋"/>
          <w:b/>
          <w:sz w:val="32"/>
          <w:szCs w:val="32"/>
          <w:highlight w:val="none"/>
          <w:lang w:val="en-US" w:eastAsia="zh-CN"/>
        </w:rPr>
        <w:t>可持续影响</w:t>
      </w:r>
      <w:bookmarkEnd w:id="241"/>
      <w:bookmarkEnd w:id="242"/>
      <w:bookmarkEnd w:id="243"/>
      <w:bookmarkEnd w:id="244"/>
      <w:bookmarkEnd w:id="245"/>
      <w:bookmarkEnd w:id="246"/>
      <w:bookmarkEnd w:id="247"/>
      <w:bookmarkEnd w:id="248"/>
      <w:bookmarkEnd w:id="249"/>
      <w:bookmarkEnd w:id="250"/>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（1）评价指标得分情况</w:t>
      </w:r>
    </w:p>
    <w:tbl>
      <w:tblPr>
        <w:tblStyle w:val="33"/>
        <w:tblW w:w="886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4"/>
        <w:gridCol w:w="2145"/>
        <w:gridCol w:w="3994"/>
        <w:gridCol w:w="746"/>
        <w:gridCol w:w="6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314" w:type="dxa"/>
            <w:tcBorders>
              <w:top w:val="single" w:color="000000" w:sz="6" w:space="0"/>
              <w:lef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三级指标</w:t>
            </w:r>
          </w:p>
        </w:tc>
        <w:tc>
          <w:tcPr>
            <w:tcW w:w="2145"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指标解释</w:t>
            </w:r>
          </w:p>
        </w:tc>
        <w:tc>
          <w:tcPr>
            <w:tcW w:w="3994" w:type="dxa"/>
            <w:tcBorders>
              <w:top w:val="single" w:color="000000" w:sz="6" w:space="0"/>
              <w:bottom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评价标准</w:t>
            </w:r>
          </w:p>
        </w:tc>
        <w:tc>
          <w:tcPr>
            <w:tcW w:w="746" w:type="dxa"/>
            <w:tcBorders>
              <w:top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分值</w:t>
            </w:r>
          </w:p>
        </w:tc>
        <w:tc>
          <w:tcPr>
            <w:tcW w:w="668" w:type="dxa"/>
            <w:tcBorders>
              <w:top w:val="single" w:color="000000" w:sz="6" w:space="0"/>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3" w:hRule="atLeast"/>
        </w:trPr>
        <w:tc>
          <w:tcPr>
            <w:tcW w:w="1314" w:type="dxa"/>
            <w:tcBorders>
              <w:left w:val="single" w:color="000000" w:sz="6" w:space="0"/>
              <w:bottom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作者队伍对刊物满意度</w:t>
            </w:r>
          </w:p>
        </w:tc>
        <w:tc>
          <w:tcPr>
            <w:tcW w:w="2145" w:type="dxa"/>
            <w:tcBorders>
              <w:bottom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反映供稿者对项目实施效果的满意程度，指标值设为≥80%</w:t>
            </w:r>
          </w:p>
        </w:tc>
        <w:tc>
          <w:tcPr>
            <w:tcW w:w="3994" w:type="dxa"/>
            <w:tcBorders>
              <w:top w:val="single" w:color="000000" w:sz="6" w:space="0"/>
              <w:bottom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（1）与设定指标值相比，完成指标值的，记该指标所赋全部分值；</w:t>
            </w: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（2）对完成值高于指标值较多的，若是由于指标值设定明显偏低造成的，按照偏离度适当调减分值；</w:t>
            </w: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（3）未完成指标值的，按照完成值与指标值的比例积分。</w:t>
            </w:r>
          </w:p>
        </w:tc>
        <w:tc>
          <w:tcPr>
            <w:tcW w:w="746" w:type="dxa"/>
            <w:tcBorders>
              <w:bottom w:val="single" w:color="auto" w:sz="4"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8</w:t>
            </w:r>
          </w:p>
        </w:tc>
        <w:tc>
          <w:tcPr>
            <w:tcW w:w="668" w:type="dxa"/>
            <w:tcBorders>
              <w:bottom w:val="single" w:color="auto" w:sz="4" w:space="0"/>
              <w:right w:val="single" w:color="000000" w:sz="6" w:space="0"/>
            </w:tcBorders>
            <w:vAlign w:val="top"/>
          </w:tcPr>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p>
          <w:p>
            <w:pPr>
              <w:pStyle w:val="32"/>
              <w:keepLines w:val="0"/>
              <w:pageBreakBefore w:val="0"/>
              <w:kinsoku/>
              <w:wordWrap/>
              <w:overflowPunct/>
              <w:topLinePunct w:val="0"/>
              <w:bidi w:val="0"/>
              <w:adjustRightInd/>
              <w:spacing w:before="101" w:line="360" w:lineRule="auto"/>
              <w:jc w:val="center"/>
              <w:rPr>
                <w:rFonts w:hint="eastAsia" w:ascii="Times New Roman" w:hAnsi="Times New Roman" w:eastAsia="宋体" w:cs="宋体"/>
                <w:spacing w:val="-5"/>
                <w:sz w:val="22"/>
                <w:szCs w:val="22"/>
                <w:lang w:val="en-US" w:eastAsia="zh-CN"/>
              </w:rPr>
            </w:pPr>
            <w:r>
              <w:rPr>
                <w:rFonts w:hint="eastAsia" w:ascii="Times New Roman" w:hAnsi="Times New Roman" w:eastAsia="宋体" w:cs="宋体"/>
                <w:spacing w:val="-5"/>
                <w:sz w:val="22"/>
                <w:szCs w:val="22"/>
                <w:lang w:val="en-US" w:eastAsia="zh-CN"/>
              </w:rPr>
              <w:t>8</w:t>
            </w:r>
          </w:p>
        </w:tc>
      </w:tr>
    </w:tbl>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Times New Roman" w:hAnsi="Times New Roman" w:eastAsia="方正仿宋_GB2312" w:cs="仿宋"/>
          <w:b/>
          <w:bCs/>
          <w:sz w:val="32"/>
          <w:szCs w:val="32"/>
          <w:lang w:val="en-US" w:eastAsia="zh-CN" w:bidi="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lang w:val="en-US" w:eastAsia="zh-CN" w:bidi="zh-CN"/>
        </w:rPr>
        <w:t>（2）</w:t>
      </w:r>
      <w:r>
        <w:rPr>
          <w:rFonts w:hint="eastAsia" w:ascii="Times New Roman" w:hAnsi="Times New Roman" w:eastAsia="方正仿宋_GB2312" w:cs="仿宋"/>
          <w:b/>
          <w:bCs/>
          <w:sz w:val="32"/>
          <w:szCs w:val="32"/>
          <w:highlight w:val="none"/>
          <w:lang w:val="zh-CN" w:eastAsia="zh-CN"/>
        </w:rPr>
        <w:t>指标</w:t>
      </w:r>
      <w:r>
        <w:rPr>
          <w:rFonts w:hint="eastAsia" w:ascii="Times New Roman" w:hAnsi="Times New Roman" w:eastAsia="方正仿宋_GB2312" w:cs="仿宋"/>
          <w:b/>
          <w:bCs/>
          <w:sz w:val="32"/>
          <w:szCs w:val="32"/>
          <w:highlight w:val="none"/>
          <w:lang w:val="en-US" w:eastAsia="zh-CN"/>
        </w:rPr>
        <w:t>分析</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刊物作者队伍满意度问卷调查回收总数：10份，按照评分标准：满意度达到100%。</w:t>
      </w:r>
    </w:p>
    <w:p>
      <w:pPr>
        <w:keepNext w:val="0"/>
        <w:keepLines w:val="0"/>
        <w:pageBreakBefore w:val="0"/>
        <w:widowControl w:val="0"/>
        <w:kinsoku/>
        <w:wordWrap/>
        <w:overflowPunct/>
        <w:topLinePunct w:val="0"/>
        <w:autoSpaceDE/>
        <w:autoSpaceDN/>
        <w:bidi w:val="0"/>
        <w:adjustRightInd/>
        <w:snapToGrid/>
        <w:spacing w:line="600" w:lineRule="exact"/>
        <w:ind w:right="0" w:firstLine="642" w:firstLineChars="200"/>
        <w:textAlignment w:val="auto"/>
        <w:rPr>
          <w:rFonts w:hint="default" w:ascii="Times New Roman" w:hAnsi="Times New Roman" w:eastAsia="方正仿宋_GB2312" w:cs="仿宋"/>
          <w:b/>
          <w:bCs/>
          <w:sz w:val="32"/>
          <w:szCs w:val="32"/>
          <w:highlight w:val="none"/>
          <w:lang w:val="en-US" w:eastAsia="zh-CN"/>
        </w:rPr>
      </w:pPr>
      <w:r>
        <w:rPr>
          <w:rFonts w:hint="eastAsia" w:ascii="Times New Roman" w:hAnsi="Times New Roman" w:eastAsia="方正仿宋_GB2312" w:cs="仿宋"/>
          <w:b/>
          <w:bCs/>
          <w:sz w:val="32"/>
          <w:szCs w:val="32"/>
          <w:highlight w:val="none"/>
          <w:lang w:val="en-US" w:eastAsia="zh-CN"/>
        </w:rPr>
        <w:t>（3）分析结论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default" w:ascii="Times New Roman" w:hAnsi="Times New Roman" w:eastAsia="方正仿宋_GB2312" w:cs="仿宋"/>
          <w:sz w:val="32"/>
          <w:szCs w:val="32"/>
          <w:highlight w:val="none"/>
          <w:lang w:val="en-US" w:eastAsia="zh-CN"/>
        </w:rPr>
      </w:pPr>
      <w:r>
        <w:rPr>
          <w:rFonts w:hint="eastAsia" w:ascii="Times New Roman" w:hAnsi="Times New Roman" w:eastAsia="方正仿宋_GB2312" w:cs="仿宋"/>
          <w:sz w:val="32"/>
          <w:szCs w:val="32"/>
          <w:highlight w:val="none"/>
          <w:lang w:val="en-US" w:eastAsia="zh-CN"/>
        </w:rPr>
        <w:t>综上，可持续影响环</w:t>
      </w:r>
      <w:r>
        <w:rPr>
          <w:rFonts w:hint="eastAsia" w:ascii="Times New Roman" w:hAnsi="Times New Roman" w:eastAsia="方正仿宋_GB2312" w:cs="仿宋"/>
          <w:color w:val="auto"/>
          <w:sz w:val="32"/>
          <w:szCs w:val="32"/>
          <w:highlight w:val="none"/>
          <w:lang w:val="en-US" w:eastAsia="zh-CN"/>
        </w:rPr>
        <w:t>节达到了项目预期管控目标。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outlineLvl w:val="0"/>
        <w:rPr>
          <w:rFonts w:ascii="Times New Roman" w:hAnsi="Times New Roman" w:eastAsia="方正仿宋_GB2312"/>
          <w:b/>
          <w:bCs/>
          <w:sz w:val="32"/>
          <w:szCs w:val="32"/>
          <w:highlight w:val="none"/>
          <w:lang w:val="en-US"/>
        </w:rPr>
      </w:pPr>
      <w:bookmarkStart w:id="251" w:name="_Toc31874"/>
      <w:r>
        <w:rPr>
          <w:rFonts w:hint="eastAsia" w:ascii="Times New Roman" w:hAnsi="Times New Roman" w:eastAsia="方正仿宋_GB2312"/>
          <w:b/>
          <w:bCs/>
          <w:sz w:val="32"/>
          <w:szCs w:val="32"/>
          <w:highlight w:val="none"/>
          <w:lang w:val="en-US"/>
        </w:rPr>
        <w:t>五、主要经验及做法、存在的问题及原因分析</w:t>
      </w:r>
      <w:bookmarkEnd w:id="251"/>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rPr>
          <w:rFonts w:ascii="Times New Roman" w:hAnsi="Times New Roman" w:eastAsia="方正仿宋_GB2312"/>
          <w:sz w:val="32"/>
          <w:szCs w:val="32"/>
          <w:highlight w:val="none"/>
          <w:lang w:val="en-US"/>
        </w:rPr>
      </w:pPr>
      <w:bookmarkStart w:id="252" w:name="_Toc8898"/>
      <w:bookmarkStart w:id="253" w:name="_Toc5003"/>
      <w:r>
        <w:rPr>
          <w:rFonts w:hint="eastAsia" w:ascii="Times New Roman" w:hAnsi="Times New Roman" w:eastAsia="方正仿宋_GB2312"/>
          <w:sz w:val="32"/>
          <w:szCs w:val="32"/>
          <w:highlight w:val="none"/>
          <w:lang w:val="en-US"/>
        </w:rPr>
        <w:t>（一）主要经验及做法</w:t>
      </w:r>
      <w:bookmarkEnd w:id="252"/>
      <w:bookmarkEnd w:id="253"/>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eastAsia="zh-CN"/>
        </w:rPr>
        <w:t>“坚持守正创新、聚力提质增效、推动融合发展”：</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eastAsia="zh-CN"/>
        </w:rPr>
        <w:t>1.守正是根本。习近平总书记讲，守正才能不迷失方向、不犯颠覆性错误，创新才能把握时代、引领时代。坚持守正创新作为党的二十届全会提出的进一步全面深化改革必须贯彻好的“六个原则”之一，习近平文化思想也有非常鲜明的守正创新的理论品质和特质。是推进党的创新理论融合传播发展的方法论。</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eastAsia="zh-CN"/>
        </w:rPr>
        <w:t>2.创新是关键。习近平总书记关于创新有丰富的论述，很多思想非常精辟。他指出：“揭示一条规律是创新，提出一种学说是创新，阐明一个道理是创新，创造一种解决问题的办法也是创新。”书磊部长讲，“创新方式方法，推动党的创新理论武装走深走实”。结合去年中宣办发文要求，创新，就是创新思路、新话语、新机制、新形式。</w:t>
      </w:r>
    </w:p>
    <w:p>
      <w:pPr>
        <w:pStyle w:val="3"/>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642" w:firstLineChars="200"/>
        <w:jc w:val="left"/>
        <w:textAlignment w:val="auto"/>
        <w:rPr>
          <w:rFonts w:ascii="Times New Roman" w:hAnsi="Times New Roman" w:eastAsia="方正仿宋_GB2312"/>
          <w:sz w:val="32"/>
          <w:szCs w:val="32"/>
          <w:highlight w:val="none"/>
          <w:lang w:val="en-US"/>
        </w:rPr>
      </w:pPr>
      <w:bookmarkStart w:id="254" w:name="_Toc8555"/>
      <w:bookmarkStart w:id="255" w:name="_Toc28189"/>
      <w:r>
        <w:rPr>
          <w:rFonts w:hint="eastAsia" w:ascii="Times New Roman" w:hAnsi="Times New Roman" w:eastAsia="方正仿宋_GB2312"/>
          <w:sz w:val="32"/>
          <w:szCs w:val="32"/>
          <w:highlight w:val="none"/>
          <w:lang w:val="en-US"/>
        </w:rPr>
        <w:t>（</w:t>
      </w:r>
      <w:r>
        <w:rPr>
          <w:rFonts w:ascii="Times New Roman" w:hAnsi="Times New Roman" w:eastAsia="方正仿宋_GB2312"/>
          <w:sz w:val="32"/>
          <w:szCs w:val="32"/>
          <w:highlight w:val="none"/>
          <w:lang w:val="en-US"/>
        </w:rPr>
        <w:t>二）存在的问题</w:t>
      </w:r>
      <w:bookmarkEnd w:id="254"/>
      <w:bookmarkEnd w:id="255"/>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textAlignment w:val="auto"/>
        <w:rPr>
          <w:rFonts w:hint="default" w:ascii="Times New Roman" w:hAnsi="Times New Roman" w:eastAsia="方正仿宋_GB2312"/>
          <w:b/>
          <w:bCs/>
          <w:sz w:val="32"/>
          <w:szCs w:val="32"/>
          <w:highlight w:val="none"/>
          <w:lang w:val="en-US" w:eastAsia="zh-CN"/>
        </w:rPr>
      </w:pPr>
      <w:r>
        <w:rPr>
          <w:rFonts w:hint="eastAsia" w:ascii="Times New Roman" w:hAnsi="Times New Roman" w:eastAsia="方正仿宋_GB2312"/>
          <w:b/>
          <w:bCs/>
          <w:sz w:val="32"/>
          <w:szCs w:val="32"/>
          <w:highlight w:val="none"/>
          <w:lang w:val="en-US" w:eastAsia="zh-CN"/>
        </w:rPr>
        <w:t>1.预算测算依据不充分</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textAlignment w:val="auto"/>
        <w:rPr>
          <w:rFonts w:hint="default" w:ascii="Times New Roman" w:hAnsi="Times New Roman" w:eastAsia="方正仿宋_GB2312"/>
          <w:b w:val="0"/>
          <w:bCs w:val="0"/>
          <w:sz w:val="32"/>
          <w:szCs w:val="32"/>
          <w:highlight w:val="none"/>
          <w:lang w:val="en-US" w:eastAsia="zh-CN"/>
        </w:rPr>
      </w:pPr>
      <w:r>
        <w:rPr>
          <w:rFonts w:hint="eastAsia" w:ascii="Times New Roman" w:hAnsi="Times New Roman" w:eastAsia="方正仿宋_GB2312"/>
          <w:b w:val="0"/>
          <w:bCs w:val="0"/>
          <w:sz w:val="32"/>
          <w:szCs w:val="32"/>
          <w:highlight w:val="none"/>
          <w:lang w:val="en-US" w:eastAsia="zh-CN"/>
        </w:rPr>
        <w:t>预算编制时，未全面了解市场情况及需求，使得在设置绩效目标时可能造成目标值较低的情况。</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textAlignment w:val="auto"/>
        <w:rPr>
          <w:rFonts w:hint="eastAsia" w:ascii="Times New Roman" w:hAnsi="Times New Roman" w:eastAsia="方正仿宋_GB2312"/>
          <w:b/>
          <w:bCs/>
          <w:sz w:val="32"/>
          <w:szCs w:val="32"/>
          <w:highlight w:val="none"/>
          <w:lang w:val="en-US" w:eastAsia="zh-CN"/>
        </w:rPr>
      </w:pPr>
      <w:r>
        <w:rPr>
          <w:rFonts w:hint="eastAsia" w:ascii="Times New Roman" w:hAnsi="Times New Roman" w:eastAsia="方正仿宋_GB2312"/>
          <w:b/>
          <w:bCs/>
          <w:sz w:val="32"/>
          <w:szCs w:val="32"/>
          <w:highlight w:val="none"/>
          <w:lang w:val="en-US" w:eastAsia="zh-CN"/>
        </w:rPr>
        <w:t>2.管理机制不完善，业务制度不健全</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textAlignment w:val="auto"/>
        <w:rPr>
          <w:rFonts w:hint="eastAsia" w:ascii="Times New Roman" w:hAnsi="Times New Roman" w:eastAsia="方正仿宋_GB2312"/>
          <w:b w:val="0"/>
          <w:bCs w:val="0"/>
          <w:sz w:val="32"/>
          <w:szCs w:val="32"/>
          <w:highlight w:val="none"/>
          <w:lang w:val="en-US" w:eastAsia="zh-CN"/>
        </w:rPr>
      </w:pPr>
      <w:r>
        <w:rPr>
          <w:rFonts w:hint="eastAsia" w:ascii="Times New Roman" w:hAnsi="Times New Roman" w:eastAsia="方正仿宋_GB2312"/>
          <w:b w:val="0"/>
          <w:bCs w:val="0"/>
          <w:sz w:val="32"/>
          <w:szCs w:val="32"/>
          <w:highlight w:val="none"/>
          <w:lang w:val="en-US" w:eastAsia="zh-CN"/>
        </w:rPr>
        <w:t>单位未制定项目业务管理制度，内部控制业务管理制度缺失容易造成经济活动等内部管理要求不明确，不利于内部各部门间分工协作和业务工作间的高效衔接。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42" w:firstLineChars="200"/>
        <w:textAlignment w:val="auto"/>
        <w:outlineLvl w:val="0"/>
        <w:rPr>
          <w:rFonts w:ascii="Times New Roman" w:hAnsi="Times New Roman" w:eastAsia="方正仿宋_GB2312"/>
          <w:b/>
          <w:bCs/>
          <w:sz w:val="32"/>
          <w:szCs w:val="32"/>
          <w:highlight w:val="none"/>
          <w:lang w:val="en-US"/>
        </w:rPr>
      </w:pPr>
      <w:bookmarkStart w:id="256" w:name="_Toc31529"/>
      <w:r>
        <w:rPr>
          <w:rFonts w:hint="eastAsia" w:ascii="Times New Roman" w:hAnsi="Times New Roman" w:eastAsia="方正仿宋_GB2312"/>
          <w:b/>
          <w:bCs/>
          <w:sz w:val="32"/>
          <w:szCs w:val="32"/>
          <w:highlight w:val="none"/>
          <w:lang w:val="en-US"/>
        </w:rPr>
        <w:t>六、有关建议</w:t>
      </w:r>
      <w:bookmarkEnd w:id="256"/>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rPr>
          <w:rFonts w:hint="eastAsia" w:ascii="Times New Roman" w:hAnsi="Times New Roman" w:eastAsia="方正仿宋_GB2312"/>
          <w:b/>
          <w:bCs/>
          <w:sz w:val="32"/>
          <w:szCs w:val="32"/>
          <w:highlight w:val="none"/>
          <w:lang w:val="en-US" w:eastAsia="zh-CN"/>
        </w:rPr>
      </w:pPr>
      <w:r>
        <w:rPr>
          <w:rFonts w:hint="eastAsia" w:ascii="Times New Roman" w:hAnsi="Times New Roman" w:eastAsia="方正仿宋_GB2312"/>
          <w:b/>
          <w:bCs/>
          <w:sz w:val="32"/>
          <w:szCs w:val="32"/>
          <w:highlight w:val="none"/>
          <w:lang w:val="en-US" w:eastAsia="zh-CN"/>
        </w:rPr>
        <w:t>（一）完善决策管控机制，提升绩效规范化管理</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sz w:val="32"/>
          <w:szCs w:val="32"/>
          <w:highlight w:val="none"/>
          <w:lang w:val="en-US" w:eastAsia="zh-CN"/>
        </w:rPr>
      </w:pPr>
      <w:r>
        <w:rPr>
          <w:rFonts w:hint="eastAsia" w:ascii="Times New Roman" w:hAnsi="Times New Roman" w:eastAsia="方正仿宋_GB2312"/>
          <w:sz w:val="32"/>
          <w:szCs w:val="32"/>
          <w:highlight w:val="none"/>
          <w:lang w:val="en-US" w:eastAsia="zh-CN"/>
        </w:rPr>
        <w:t>项目立项结合项目实际开展必要的绩效评估及集体决策等程序，填报绩效目标申报表时对绩效指标进行细化和量化，能够全面反映预期产出和效果。深入理解将绩效目标设置作为预算安排前置条件的要求，切实加强绩效目标管理工作。建议财务部门结合工作要求，通过绩效目标培训和绩效目标审核等提高绩效目标编制的质量</w:t>
      </w:r>
      <w:r>
        <w:rPr>
          <w:rFonts w:hint="eastAsia" w:ascii="Times New Roman" w:hAnsi="Times New Roman" w:eastAsia="方正仿宋_GB2312" w:cs="仿宋"/>
          <w:kern w:val="0"/>
          <w:sz w:val="32"/>
          <w:szCs w:val="32"/>
          <w:highlight w:val="none"/>
          <w:lang w:val="en-US" w:eastAsia="zh-CN" w:bidi="zh-CN"/>
        </w:rPr>
        <w:t>。</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rPr>
          <w:rFonts w:hint="eastAsia" w:ascii="Times New Roman" w:hAnsi="Times New Roman" w:eastAsia="方正仿宋_GB2312"/>
          <w:b/>
          <w:bCs/>
          <w:sz w:val="32"/>
          <w:szCs w:val="32"/>
          <w:highlight w:val="none"/>
          <w:lang w:val="en-US" w:eastAsia="zh-CN"/>
        </w:rPr>
      </w:pPr>
      <w:r>
        <w:rPr>
          <w:rFonts w:hint="eastAsia" w:ascii="Times New Roman" w:hAnsi="Times New Roman" w:eastAsia="方正仿宋_GB2312"/>
          <w:b/>
          <w:bCs/>
          <w:sz w:val="32"/>
          <w:szCs w:val="32"/>
          <w:highlight w:val="none"/>
          <w:lang w:val="en-US" w:eastAsia="zh-CN"/>
        </w:rPr>
        <w:t>（二）科学预算编制，严格预算执行</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b w:val="0"/>
          <w:bCs w:val="0"/>
          <w:sz w:val="32"/>
          <w:szCs w:val="32"/>
          <w:highlight w:val="none"/>
          <w:lang w:val="en-US" w:eastAsia="zh-CN"/>
        </w:rPr>
      </w:pPr>
      <w:r>
        <w:rPr>
          <w:rFonts w:hint="eastAsia" w:ascii="Times New Roman" w:hAnsi="Times New Roman" w:eastAsia="方正仿宋_GB2312"/>
          <w:b w:val="0"/>
          <w:bCs w:val="0"/>
          <w:sz w:val="32"/>
          <w:szCs w:val="32"/>
          <w:highlight w:val="none"/>
          <w:lang w:val="en-US" w:eastAsia="zh-CN"/>
        </w:rPr>
        <w:t>建议进一步细化预算编制，加强各级预算项目的绩效目标申报匹配性。完善预算项目评审机制，夯实年度预算测算依据，提高预算编制与实际执行的一致性。制定合理的实施计划和绩效目标。</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rPr>
          <w:rFonts w:hint="eastAsia" w:ascii="Times New Roman" w:hAnsi="Times New Roman" w:eastAsia="方正仿宋_GB2312"/>
          <w:b/>
          <w:bCs/>
          <w:sz w:val="32"/>
          <w:szCs w:val="32"/>
          <w:highlight w:val="none"/>
          <w:lang w:val="en-US" w:eastAsia="zh-CN"/>
        </w:rPr>
      </w:pPr>
      <w:r>
        <w:rPr>
          <w:rFonts w:hint="eastAsia" w:ascii="Times New Roman" w:hAnsi="Times New Roman" w:eastAsia="方正仿宋_GB2312"/>
          <w:b/>
          <w:bCs/>
          <w:sz w:val="32"/>
          <w:szCs w:val="32"/>
          <w:highlight w:val="none"/>
          <w:lang w:val="en-US" w:eastAsia="zh-CN"/>
        </w:rPr>
        <w:t>（三）铸牢制度基础，发挥制度驱动力</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kern w:val="0"/>
          <w:sz w:val="32"/>
          <w:szCs w:val="32"/>
          <w:highlight w:val="none"/>
          <w:lang w:val="en-US" w:eastAsia="zh-CN" w:bidi="zh-CN"/>
        </w:rPr>
      </w:pPr>
      <w:r>
        <w:rPr>
          <w:rFonts w:hint="eastAsia" w:ascii="Times New Roman" w:hAnsi="Times New Roman" w:eastAsia="方正仿宋_GB2312"/>
          <w:sz w:val="32"/>
          <w:szCs w:val="32"/>
          <w:highlight w:val="none"/>
          <w:lang w:val="en-US" w:eastAsia="zh-CN"/>
        </w:rPr>
        <w:t>完善内部控制管理体系，建立业务管理相关制度。内部管理制度执行过程中随着内外部环境、相关法律法规、职责内容和管理模式等的改变而适时更新、完善</w:t>
      </w:r>
      <w:r>
        <w:rPr>
          <w:rFonts w:hint="eastAsia" w:ascii="Times New Roman" w:hAnsi="Times New Roman" w:eastAsia="方正仿宋_GB2312" w:cs="仿宋"/>
          <w:kern w:val="0"/>
          <w:sz w:val="32"/>
          <w:szCs w:val="32"/>
          <w:highlight w:val="none"/>
          <w:lang w:val="en-US" w:eastAsia="zh-CN" w:bidi="zh-CN"/>
        </w:rPr>
        <w:t>。形成以绩效为核心的制度体系和资金管理机制。进一步完善相关管理制度，提高可操作性，不断推动全面实施预算绩效管理的落实，最终形成层级配套、功能协调、体系完备的制度体系，逐步提升操作规范性和科学性。</w:t>
      </w:r>
    </w:p>
    <w:p>
      <w:pPr>
        <w:keepNext w:val="0"/>
        <w:keepLines w:val="0"/>
        <w:pageBreakBefore w:val="0"/>
        <w:widowControl w:val="0"/>
        <w:kinsoku/>
        <w:wordWrap/>
        <w:overflowPunct/>
        <w:topLinePunct w:val="0"/>
        <w:bidi w:val="0"/>
        <w:adjustRightInd/>
        <w:snapToGrid/>
        <w:spacing w:line="600" w:lineRule="exact"/>
        <w:ind w:left="0" w:leftChars="0" w:right="0" w:firstLine="642" w:firstLineChars="200"/>
        <w:jc w:val="both"/>
        <w:textAlignment w:val="auto"/>
        <w:rPr>
          <w:rFonts w:hint="default" w:ascii="Times New Roman" w:hAnsi="Times New Roman" w:eastAsia="方正仿宋_GB2312" w:cs="仿宋"/>
          <w:b/>
          <w:bCs/>
          <w:kern w:val="0"/>
          <w:sz w:val="32"/>
          <w:szCs w:val="32"/>
          <w:highlight w:val="none"/>
          <w:lang w:val="en-US" w:eastAsia="zh-CN" w:bidi="zh-CN"/>
        </w:rPr>
      </w:pPr>
      <w:r>
        <w:rPr>
          <w:rFonts w:hint="eastAsia" w:ascii="Times New Roman" w:hAnsi="Times New Roman" w:eastAsia="方正仿宋_GB2312" w:cs="仿宋"/>
          <w:b/>
          <w:bCs/>
          <w:kern w:val="0"/>
          <w:sz w:val="32"/>
          <w:szCs w:val="32"/>
          <w:highlight w:val="none"/>
          <w:lang w:val="en-US" w:eastAsia="zh-CN" w:bidi="zh-CN"/>
        </w:rPr>
        <w:t>（四）提升理论宣传质效，推进深度融合发展</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kern w:val="0"/>
          <w:sz w:val="32"/>
          <w:szCs w:val="32"/>
          <w:highlight w:val="none"/>
          <w:lang w:val="en-US" w:eastAsia="zh-CN" w:bidi="zh-CN"/>
        </w:rPr>
      </w:pPr>
      <w:r>
        <w:rPr>
          <w:rFonts w:hint="eastAsia" w:ascii="Times New Roman" w:hAnsi="Times New Roman" w:eastAsia="方正仿宋_GB2312" w:cs="仿宋"/>
          <w:kern w:val="0"/>
          <w:sz w:val="32"/>
          <w:szCs w:val="32"/>
          <w:highlight w:val="none"/>
          <w:lang w:val="en-US" w:eastAsia="zh-CN" w:bidi="zh-CN"/>
        </w:rPr>
        <w:t>全面提升理论宣传质效，着力提升党刊的权威性、实用性、可读性、服务性。改进“识见”评论模式，建强评论专班和长作者队伍，提升评论产品传播力。挖掘学习强国内蒙古学习平台资源，联动区外省级平台开展跨区域主题宣传活动。</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kern w:val="0"/>
          <w:sz w:val="32"/>
          <w:szCs w:val="32"/>
          <w:highlight w:val="none"/>
          <w:lang w:val="en-US" w:eastAsia="zh-CN" w:bidi="zh-CN"/>
        </w:rPr>
      </w:pP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kern w:val="0"/>
          <w:sz w:val="32"/>
          <w:szCs w:val="32"/>
          <w:highlight w:val="none"/>
          <w:lang w:val="en-US" w:eastAsia="zh-CN" w:bidi="zh-CN"/>
        </w:rPr>
      </w:pPr>
    </w:p>
    <w:p>
      <w:pPr>
        <w:pStyle w:val="31"/>
        <w:keepLines w:val="0"/>
        <w:pageBreakBefore w:val="0"/>
        <w:widowControl/>
        <w:numPr>
          <w:ilvl w:val="0"/>
          <w:numId w:val="1"/>
        </w:numPr>
        <w:kinsoku/>
        <w:wordWrap/>
        <w:overflowPunct/>
        <w:topLinePunct w:val="0"/>
        <w:bidi w:val="0"/>
        <w:adjustRightInd/>
        <w:spacing w:before="240" w:after="240" w:line="600" w:lineRule="exact"/>
        <w:ind w:firstLine="643"/>
        <w:jc w:val="left"/>
        <w:rPr>
          <w:rFonts w:ascii="Times New Roman" w:hAnsi="Times New Roman" w:eastAsia="楷体" w:cs="楷体"/>
          <w:b/>
          <w:bCs/>
          <w:kern w:val="0"/>
          <w:sz w:val="32"/>
          <w:szCs w:val="32"/>
        </w:rPr>
      </w:pPr>
      <w:r>
        <w:rPr>
          <w:rFonts w:ascii="Times New Roman" w:hAnsi="Times New Roman" w:eastAsia="楷体" w:cs="楷体"/>
          <w:b/>
          <w:bCs/>
          <w:kern w:val="0"/>
          <w:sz w:val="32"/>
          <w:szCs w:val="32"/>
        </w:rPr>
        <w:t>部门预算绩效管理制度和核心绩效指标标准体系建设情况。</w:t>
      </w:r>
    </w:p>
    <w:p>
      <w:pPr>
        <w:keepNext w:val="0"/>
        <w:keepLines w:val="0"/>
        <w:pageBreakBefore w:val="0"/>
        <w:widowControl w:val="0"/>
        <w:kinsoku/>
        <w:wordWrap/>
        <w:overflowPunct/>
        <w:topLinePunct w:val="0"/>
        <w:bidi w:val="0"/>
        <w:adjustRightInd/>
        <w:snapToGrid/>
        <w:spacing w:line="600" w:lineRule="exact"/>
        <w:ind w:left="0" w:leftChars="0" w:right="0" w:firstLine="640" w:firstLineChars="200"/>
        <w:jc w:val="both"/>
        <w:textAlignment w:val="auto"/>
        <w:rPr>
          <w:rFonts w:hint="eastAsia" w:ascii="Times New Roman" w:hAnsi="Times New Roman" w:eastAsia="方正仿宋_GB2312" w:cs="仿宋"/>
          <w:kern w:val="0"/>
          <w:sz w:val="32"/>
          <w:szCs w:val="32"/>
          <w:highlight w:val="none"/>
          <w:lang w:val="en-US" w:eastAsia="zh-CN" w:bidi="zh-CN"/>
        </w:rPr>
      </w:pPr>
      <w:r>
        <w:rPr>
          <w:rFonts w:hint="eastAsia" w:ascii="Times New Roman" w:hAnsi="Times New Roman" w:eastAsia="方正仿宋_GB2312" w:cs="仿宋"/>
          <w:kern w:val="0"/>
          <w:sz w:val="32"/>
          <w:szCs w:val="32"/>
          <w:highlight w:val="none"/>
          <w:lang w:val="en-US" w:eastAsia="zh-CN" w:bidi="zh-CN"/>
        </w:rPr>
        <w:t>绩效管理制度详见下图第六章：</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0" w:firstLineChars="0"/>
        <w:jc w:val="left"/>
        <w:textAlignment w:val="auto"/>
        <w:rPr>
          <w:rFonts w:hint="eastAsia" w:ascii="Times New Roman" w:hAnsi="Times New Roman" w:eastAsia="FangSong_GB2312" w:cs="FangSong_GB2312"/>
          <w:kern w:val="0"/>
          <w:sz w:val="32"/>
          <w:szCs w:val="3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line="480" w:lineRule="auto"/>
        <w:ind w:firstLine="0" w:firstLineChars="0"/>
        <w:jc w:val="left"/>
        <w:textAlignment w:val="auto"/>
        <w:rPr>
          <w:rFonts w:hint="eastAsia" w:ascii="Times New Roman" w:hAnsi="Times New Roman" w:eastAsia="FangSong_GB2312" w:cs="FangSong_GB2312"/>
          <w:kern w:val="0"/>
          <w:sz w:val="32"/>
          <w:szCs w:val="32"/>
          <w:lang w:val="en-US" w:eastAsia="zh-CN" w:bidi="ar-SA"/>
        </w:rPr>
      </w:pPr>
      <w:r>
        <w:rPr>
          <w:rFonts w:hint="eastAsia" w:ascii="Times New Roman" w:hAnsi="Times New Roman" w:eastAsia="FangSong_GB2312" w:cs="FangSong_GB2312"/>
          <w:kern w:val="0"/>
          <w:sz w:val="32"/>
          <w:szCs w:val="32"/>
          <w:lang w:val="en-US" w:eastAsia="zh-CN" w:bidi="ar-SA"/>
        </w:rPr>
        <w:drawing>
          <wp:inline distT="0" distB="0" distL="114300" distR="114300">
            <wp:extent cx="5614035" cy="7822565"/>
            <wp:effectExtent l="0" t="0" r="9525" b="12700"/>
            <wp:docPr id="6" name="图片 6" descr="关于印发《实践杂志社风险评估管理办法》等制度的通知（2023年1月1日起施行）_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关于印发《实践杂志社风险评估管理办法》等制度的通知（2023年1月1日起施行）_01"/>
                    <pic:cNvPicPr>
                      <a:picLocks noChangeAspect="true"/>
                    </pic:cNvPicPr>
                  </pic:nvPicPr>
                  <pic:blipFill>
                    <a:blip r:embed="rId21"/>
                    <a:stretch>
                      <a:fillRect/>
                    </a:stretch>
                  </pic:blipFill>
                  <pic:spPr>
                    <a:xfrm>
                      <a:off x="0" y="0"/>
                      <a:ext cx="5614035" cy="7822565"/>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FangSong_GB2312" w:cs="FangSong_GB2312"/>
          <w:kern w:val="0"/>
          <w:sz w:val="32"/>
          <w:szCs w:val="32"/>
          <w:lang w:val="en-US" w:eastAsia="zh-CN" w:bidi="ar-SA"/>
        </w:rPr>
      </w:pP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42" name="图片 42" descr="关于印发《实践杂志社风险评估管理办法》等制度的通知（2023年1月1日起施行）_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关于印发《实践杂志社风险评估管理办法》等制度的通知（2023年1月1日起施行）_02"/>
                    <pic:cNvPicPr>
                      <a:picLocks noChangeAspect="true"/>
                    </pic:cNvPicPr>
                  </pic:nvPicPr>
                  <pic:blipFill>
                    <a:blip r:embed="rId22"/>
                    <a:stretch>
                      <a:fillRect/>
                    </a:stretch>
                  </pic:blipFill>
                  <pic:spPr>
                    <a:xfrm>
                      <a:off x="0" y="0"/>
                      <a:ext cx="5607050" cy="7933690"/>
                    </a:xfrm>
                    <a:prstGeom prst="rect">
                      <a:avLst/>
                    </a:prstGeom>
                  </pic:spPr>
                </pic:pic>
              </a:graphicData>
            </a:graphic>
          </wp:inline>
        </w:drawing>
      </w: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41" name="图片 41" descr="关于印发《实践杂志社风险评估管理办法》等制度的通知（2023年1月1日起施行）_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关于印发《实践杂志社风险评估管理办法》等制度的通知（2023年1月1日起施行）_03"/>
                    <pic:cNvPicPr>
                      <a:picLocks noChangeAspect="true"/>
                    </pic:cNvPicPr>
                  </pic:nvPicPr>
                  <pic:blipFill>
                    <a:blip r:embed="rId23"/>
                    <a:stretch>
                      <a:fillRect/>
                    </a:stretch>
                  </pic:blipFill>
                  <pic:spPr>
                    <a:xfrm>
                      <a:off x="0" y="0"/>
                      <a:ext cx="5607050" cy="7933690"/>
                    </a:xfrm>
                    <a:prstGeom prst="rect">
                      <a:avLst/>
                    </a:prstGeom>
                  </pic:spPr>
                </pic:pic>
              </a:graphicData>
            </a:graphic>
          </wp:inline>
        </w:drawing>
      </w: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40" name="图片 40" descr="关于印发《实践杂志社风险评估管理办法》等制度的通知（2023年1月1日起施行）_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关于印发《实践杂志社风险评估管理办法》等制度的通知（2023年1月1日起施行）_04"/>
                    <pic:cNvPicPr>
                      <a:picLocks noChangeAspect="true"/>
                    </pic:cNvPicPr>
                  </pic:nvPicPr>
                  <pic:blipFill>
                    <a:blip r:embed="rId24"/>
                    <a:stretch>
                      <a:fillRect/>
                    </a:stretch>
                  </pic:blipFill>
                  <pic:spPr>
                    <a:xfrm>
                      <a:off x="0" y="0"/>
                      <a:ext cx="5607050" cy="7933690"/>
                    </a:xfrm>
                    <a:prstGeom prst="rect">
                      <a:avLst/>
                    </a:prstGeom>
                  </pic:spPr>
                </pic:pic>
              </a:graphicData>
            </a:graphic>
          </wp:inline>
        </w:drawing>
      </w: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39" name="图片 39" descr="关于印发《实践杂志社风险评估管理办法》等制度的通知（2023年1月1日起施行）_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关于印发《实践杂志社风险评估管理办法》等制度的通知（2023年1月1日起施行）_05"/>
                    <pic:cNvPicPr>
                      <a:picLocks noChangeAspect="true"/>
                    </pic:cNvPicPr>
                  </pic:nvPicPr>
                  <pic:blipFill>
                    <a:blip r:embed="rId25"/>
                    <a:stretch>
                      <a:fillRect/>
                    </a:stretch>
                  </pic:blipFill>
                  <pic:spPr>
                    <a:xfrm>
                      <a:off x="0" y="0"/>
                      <a:ext cx="5607050" cy="7933690"/>
                    </a:xfrm>
                    <a:prstGeom prst="rect">
                      <a:avLst/>
                    </a:prstGeom>
                  </pic:spPr>
                </pic:pic>
              </a:graphicData>
            </a:graphic>
          </wp:inline>
        </w:drawing>
      </w: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38" name="图片 38" descr="关于印发《实践杂志社风险评估管理办法》等制度的通知（2023年1月1日起施行）_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关于印发《实践杂志社风险评估管理办法》等制度的通知（2023年1月1日起施行）_06"/>
                    <pic:cNvPicPr>
                      <a:picLocks noChangeAspect="true"/>
                    </pic:cNvPicPr>
                  </pic:nvPicPr>
                  <pic:blipFill>
                    <a:blip r:embed="rId26"/>
                    <a:stretch>
                      <a:fillRect/>
                    </a:stretch>
                  </pic:blipFill>
                  <pic:spPr>
                    <a:xfrm>
                      <a:off x="0" y="0"/>
                      <a:ext cx="5607050" cy="7933690"/>
                    </a:xfrm>
                    <a:prstGeom prst="rect">
                      <a:avLst/>
                    </a:prstGeom>
                  </pic:spPr>
                </pic:pic>
              </a:graphicData>
            </a:graphic>
          </wp:inline>
        </w:drawing>
      </w: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37" name="图片 37" descr="关于印发《实践杂志社风险评估管理办法》等制度的通知（2023年1月1日起施行）_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descr="关于印发《实践杂志社风险评估管理办法》等制度的通知（2023年1月1日起施行）_07"/>
                    <pic:cNvPicPr>
                      <a:picLocks noChangeAspect="true"/>
                    </pic:cNvPicPr>
                  </pic:nvPicPr>
                  <pic:blipFill>
                    <a:blip r:embed="rId27"/>
                    <a:stretch>
                      <a:fillRect/>
                    </a:stretch>
                  </pic:blipFill>
                  <pic:spPr>
                    <a:xfrm>
                      <a:off x="0" y="0"/>
                      <a:ext cx="5607050" cy="7933690"/>
                    </a:xfrm>
                    <a:prstGeom prst="rect">
                      <a:avLst/>
                    </a:prstGeom>
                  </pic:spPr>
                </pic:pic>
              </a:graphicData>
            </a:graphic>
          </wp:inline>
        </w:drawing>
      </w:r>
      <w:r>
        <w:rPr>
          <w:rFonts w:hint="eastAsia" w:ascii="Times New Roman" w:hAnsi="Times New Roman" w:eastAsia="FangSong_GB2312" w:cs="FangSong_GB2312"/>
          <w:kern w:val="0"/>
          <w:sz w:val="32"/>
          <w:szCs w:val="32"/>
          <w:lang w:val="en-US" w:eastAsia="zh-CN" w:bidi="ar-SA"/>
        </w:rPr>
        <w:drawing>
          <wp:inline distT="0" distB="0" distL="114300" distR="114300">
            <wp:extent cx="5607050" cy="7933690"/>
            <wp:effectExtent l="0" t="0" r="16510" b="4445"/>
            <wp:docPr id="36" name="图片 36" descr="关于印发《实践杂志社风险评估管理办法》等制度的通知（2023年1月1日起施行）_0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关于印发《实践杂志社风险评估管理办法》等制度的通知（2023年1月1日起施行）_08"/>
                    <pic:cNvPicPr>
                      <a:picLocks noChangeAspect="true"/>
                    </pic:cNvPicPr>
                  </pic:nvPicPr>
                  <pic:blipFill>
                    <a:blip r:embed="rId28"/>
                    <a:stretch>
                      <a:fillRect/>
                    </a:stretch>
                  </pic:blipFill>
                  <pic:spPr>
                    <a:xfrm>
                      <a:off x="0" y="0"/>
                      <a:ext cx="5607050" cy="7933690"/>
                    </a:xfrm>
                    <a:prstGeom prst="rect">
                      <a:avLst/>
                    </a:prstGeom>
                  </pic:spPr>
                </pic:pic>
              </a:graphicData>
            </a:graphic>
          </wp:inline>
        </w:drawing>
      </w:r>
    </w:p>
    <w:p>
      <w:pPr>
        <w:pStyle w:val="3"/>
        <w:keepNext w:val="0"/>
        <w:keepLines w:val="0"/>
        <w:pageBreakBefore w:val="0"/>
        <w:widowControl/>
        <w:kinsoku/>
        <w:wordWrap/>
        <w:overflowPunct/>
        <w:topLinePunct w:val="0"/>
        <w:autoSpaceDE/>
        <w:autoSpaceDN/>
        <w:bidi w:val="0"/>
        <w:adjustRightInd/>
        <w:snapToGrid/>
        <w:spacing w:before="0" w:after="0" w:line="240" w:lineRule="auto"/>
        <w:ind w:left="0" w:right="0" w:firstLine="640" w:firstLineChars="200"/>
        <w:jc w:val="both"/>
        <w:textAlignment w:val="auto"/>
        <w:rPr>
          <w:rFonts w:hint="default" w:ascii="Times New Roman" w:hAnsi="Times New Roman" w:eastAsia="FangSong_GB2312" w:cs="FangSong_GB2312"/>
          <w:b w:val="0"/>
          <w:bCs w:val="0"/>
          <w:kern w:val="0"/>
          <w:sz w:val="32"/>
          <w:szCs w:val="32"/>
          <w:lang w:val="en-US" w:eastAsia="zh-CN" w:bidi="ar-SA"/>
        </w:rPr>
      </w:pPr>
      <w:r>
        <w:rPr>
          <w:rFonts w:hint="eastAsia" w:ascii="Times New Roman" w:hAnsi="Times New Roman" w:eastAsia="FangSong_GB2312" w:cs="FangSong_GB2312"/>
          <w:b w:val="0"/>
          <w:bCs w:val="0"/>
          <w:kern w:val="0"/>
          <w:sz w:val="32"/>
          <w:szCs w:val="32"/>
          <w:lang w:val="en-US" w:eastAsia="zh-CN" w:bidi="ar-SA"/>
        </w:rPr>
        <w:t>核心绩效指标标准体系建设情况：2025年-2026年已对核心指标库建设进行两次意见反馈。根据2027年预算编制文件已于2026年7月30日将《实践杂志社项目绩效核心指标库》印发至各部门，将在以后年度绩效工作中按照文件认真执行。</w:t>
      </w:r>
      <w:r>
        <w:rPr>
          <w:rFonts w:hint="default" w:ascii="Times New Roman" w:hAnsi="Times New Roman" w:eastAsia="FangSong_GB2312" w:cs="FangSong_GB2312"/>
          <w:b w:val="0"/>
          <w:bCs w:val="0"/>
          <w:kern w:val="0"/>
          <w:sz w:val="32"/>
          <w:szCs w:val="32"/>
          <w:lang w:val="en-US" w:eastAsia="zh-CN" w:bidi="ar-SA"/>
        </w:rPr>
        <w:drawing>
          <wp:inline distT="0" distB="0" distL="114300" distR="114300">
            <wp:extent cx="4620895" cy="6438900"/>
            <wp:effectExtent l="0" t="0" r="8255" b="7620"/>
            <wp:docPr id="5" name="图片 5" descr="关于印发《实践杂志社项目绩效核心指标库》的通知_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关于印发《实践杂志社项目绩效核心指标库》的通知_01"/>
                    <pic:cNvPicPr>
                      <a:picLocks noChangeAspect="true"/>
                    </pic:cNvPicPr>
                  </pic:nvPicPr>
                  <pic:blipFill>
                    <a:blip r:embed="rId29"/>
                    <a:srcRect l="985" t="1209" r="136" b="1393"/>
                    <a:stretch>
                      <a:fillRect/>
                    </a:stretch>
                  </pic:blipFill>
                  <pic:spPr>
                    <a:xfrm>
                      <a:off x="0" y="0"/>
                      <a:ext cx="4620895" cy="6438900"/>
                    </a:xfrm>
                    <a:prstGeom prst="rect">
                      <a:avLst/>
                    </a:prstGeom>
                  </pic:spPr>
                </pic:pic>
              </a:graphicData>
            </a:graphic>
          </wp:inline>
        </w:drawing>
      </w:r>
    </w:p>
    <w:p>
      <w:pPr>
        <w:pStyle w:val="3"/>
        <w:keepNext w:val="0"/>
        <w:keepLines w:val="0"/>
        <w:pageBreakBefore w:val="0"/>
        <w:widowControl/>
        <w:kinsoku/>
        <w:wordWrap/>
        <w:overflowPunct/>
        <w:topLinePunct w:val="0"/>
        <w:bidi w:val="0"/>
        <w:adjustRightInd/>
        <w:spacing w:before="0" w:after="0" w:line="600" w:lineRule="exact"/>
        <w:ind w:left="0" w:right="0"/>
        <w:jc w:val="center"/>
        <w:rPr>
          <w:rFonts w:ascii="Times New Roman" w:hAnsi="Times New Roman" w:eastAsia="Times New Roman" w:cs="Times New Roman"/>
          <w:b/>
          <w:bCs/>
          <w:kern w:val="0"/>
          <w:sz w:val="36"/>
          <w:szCs w:val="36"/>
        </w:rPr>
      </w:pPr>
      <w:r>
        <w:rPr>
          <w:rFonts w:ascii="Times New Roman" w:hAnsi="Times New Roman" w:eastAsia="方正小标宋简体" w:cs="方正小标宋简体"/>
          <w:kern w:val="0"/>
          <w:sz w:val="36"/>
          <w:szCs w:val="36"/>
        </w:rPr>
        <w:t>第三部分</w:t>
      </w:r>
      <w:r>
        <w:rPr>
          <w:rFonts w:hint="eastAsia" w:ascii="Times New Roman" w:hAnsi="Times New Roman" w:eastAsia="方正小标宋简体" w:cs="方正小标宋简体"/>
          <w:kern w:val="0"/>
          <w:sz w:val="36"/>
          <w:szCs w:val="36"/>
          <w:lang w:val="en-US" w:eastAsia="zh-CN"/>
        </w:rPr>
        <w:t xml:space="preserve"> </w:t>
      </w:r>
      <w:r>
        <w:rPr>
          <w:rFonts w:ascii="Times New Roman" w:hAnsi="Times New Roman" w:eastAsia="方正小标宋简体" w:cs="方正小标宋简体"/>
          <w:kern w:val="0"/>
          <w:sz w:val="36"/>
          <w:szCs w:val="36"/>
        </w:rPr>
        <w:t>名词解释</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一、财政拨款收入：</w:t>
      </w:r>
      <w:r>
        <w:rPr>
          <w:rFonts w:ascii="Times New Roman" w:hAnsi="Times New Roman" w:eastAsia="FangSong_GB2312" w:cs="FangSong_GB2312"/>
          <w:kern w:val="0"/>
          <w:sz w:val="32"/>
          <w:szCs w:val="32"/>
        </w:rPr>
        <w:t>从同级财政部门取得的各类财政拨款，包括一般公共预算财政拨款、政府性基金预算财政拨款、国有资本经营预算财政拨款。</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二、上级补助收入：</w:t>
      </w:r>
      <w:r>
        <w:rPr>
          <w:rFonts w:ascii="Times New Roman" w:hAnsi="Times New Roman" w:eastAsia="FangSong_GB2312" w:cs="FangSong_GB2312"/>
          <w:kern w:val="0"/>
          <w:sz w:val="32"/>
          <w:szCs w:val="32"/>
        </w:rPr>
        <w:t>指事业单位从主管部门和上级单位取得的非财政补助收入。</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三、事业收入：</w:t>
      </w:r>
      <w:r>
        <w:rPr>
          <w:rFonts w:ascii="Times New Roman" w:hAnsi="Times New Roman" w:eastAsia="FangSong_GB2312" w:cs="FangSong_GB2312"/>
          <w:kern w:val="0"/>
          <w:sz w:val="32"/>
          <w:szCs w:val="32"/>
        </w:rPr>
        <w:t>指事业单位开展专业业务活动及其辅助活动取得的收入。</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四、经营收入：</w:t>
      </w:r>
      <w:r>
        <w:rPr>
          <w:rFonts w:ascii="Times New Roman" w:hAnsi="Times New Roman" w:eastAsia="FangSong_GB2312" w:cs="FangSong_GB2312"/>
          <w:kern w:val="0"/>
          <w:sz w:val="32"/>
          <w:szCs w:val="32"/>
        </w:rPr>
        <w:t>指事业单位在专业业务活动及其辅助活动之外开展非独立核算经营活动取得的收入。</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五、附属单位上缴收入：</w:t>
      </w:r>
      <w:r>
        <w:rPr>
          <w:rFonts w:ascii="Times New Roman" w:hAnsi="Times New Roman" w:eastAsia="FangSong_GB2312" w:cs="FangSong_GB2312"/>
          <w:kern w:val="0"/>
          <w:sz w:val="32"/>
          <w:szCs w:val="32"/>
        </w:rPr>
        <w:t>指事业单位取得附属独立核算单位按照有关规定上缴的收入。</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六、其他收入：</w:t>
      </w:r>
      <w:r>
        <w:rPr>
          <w:rFonts w:ascii="Times New Roman" w:hAnsi="Times New Roman" w:eastAsia="FangSong_GB2312" w:cs="FangSong_GB2312"/>
          <w:kern w:val="0"/>
          <w:sz w:val="32"/>
          <w:szCs w:val="32"/>
        </w:rPr>
        <w:t>取得的除上述财政拨款收入、上级补助收入、事业收入、经营收入、附属单位上缴收入等以外的各项收入。</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七、使用非财政拨款结余（含专用结余）：</w:t>
      </w:r>
      <w:r>
        <w:rPr>
          <w:rFonts w:ascii="Times New Roman" w:hAnsi="Times New Roman" w:eastAsia="FangSong_GB2312" w:cs="FangSong_GB2312"/>
          <w:kern w:val="0"/>
          <w:sz w:val="32"/>
          <w:szCs w:val="32"/>
        </w:rPr>
        <w:t>指事业单位按照预算管理要求使用非财政拨款结余弥补收支差额的金额，以及使用专用结余安排支出的金额。</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hint="eastAsia" w:ascii="Times New Roman" w:hAnsi="Times New Roman" w:eastAsia="FangSong_GB2312" w:cs="FangSong_GB2312"/>
          <w:kern w:val="0"/>
          <w:sz w:val="32"/>
          <w:szCs w:val="32"/>
          <w:lang w:val="en-US" w:eastAsia="zh-CN"/>
        </w:rPr>
      </w:pPr>
      <w:r>
        <w:rPr>
          <w:rFonts w:ascii="Times New Roman" w:hAnsi="Times New Roman" w:eastAsia="FangSong_GB2312" w:cs="FangSong_GB2312"/>
          <w:b/>
          <w:bCs/>
          <w:kern w:val="0"/>
          <w:sz w:val="32"/>
          <w:szCs w:val="32"/>
        </w:rPr>
        <w:t>八、年初结转和结余：</w:t>
      </w:r>
      <w:r>
        <w:rPr>
          <w:rFonts w:ascii="Times New Roman" w:hAnsi="Times New Roman" w:eastAsia="FangSong_GB2312" w:cs="FangSong_GB2312"/>
          <w:kern w:val="0"/>
          <w:sz w:val="32"/>
          <w:szCs w:val="32"/>
        </w:rPr>
        <w:t>指单位上年结转本年使用的基本支出结转、项目支出结转和结余、经营结余。</w:t>
      </w:r>
      <w:r>
        <w:rPr>
          <w:rFonts w:hint="eastAsia" w:ascii="Times New Roman" w:hAnsi="Times New Roman" w:eastAsia="FangSong_GB2312" w:cs="FangSong_GB2312"/>
          <w:kern w:val="0"/>
          <w:sz w:val="32"/>
          <w:szCs w:val="32"/>
          <w:lang w:val="en-US" w:eastAsia="zh-CN"/>
        </w:rPr>
        <w:t xml:space="preserve"> </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九、结余分配：</w:t>
      </w:r>
      <w:r>
        <w:rPr>
          <w:rFonts w:ascii="Times New Roman" w:hAnsi="Times New Roman" w:eastAsia="FangSong_GB2312" w:cs="FangSong_GB2312"/>
          <w:kern w:val="0"/>
          <w:sz w:val="32"/>
          <w:szCs w:val="32"/>
        </w:rPr>
        <w:t>指单位按规定缴纳企业所得税以及从非财政拨款结余或经营结余中提取各类结余的情况。</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十、年末结转和结余资金：</w:t>
      </w:r>
      <w:r>
        <w:rPr>
          <w:rFonts w:ascii="Times New Roman" w:hAnsi="Times New Roman" w:eastAsia="FangSong_GB2312" w:cs="FangSong_GB2312"/>
          <w:kern w:val="0"/>
          <w:sz w:val="32"/>
          <w:szCs w:val="32"/>
        </w:rPr>
        <w:t>指单位结转下年的基本支出结转、项目支出结转和结余、经营结余。</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十一、基本支出：</w:t>
      </w:r>
      <w:r>
        <w:rPr>
          <w:rFonts w:ascii="Times New Roman" w:hAnsi="Times New Roman" w:eastAsia="FangSong_GB2312" w:cs="FangSong_GB2312"/>
          <w:kern w:val="0"/>
          <w:sz w:val="32"/>
          <w:szCs w:val="32"/>
        </w:rPr>
        <w:t>指为保障机构正常运转、完成日常工作任务所发生的支出，包括人员经费和公用经费。</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color w:val="000000"/>
          <w:kern w:val="0"/>
          <w:sz w:val="32"/>
          <w:szCs w:val="32"/>
        </w:rPr>
        <w:t>十二、项目支出：</w:t>
      </w:r>
      <w:r>
        <w:rPr>
          <w:rFonts w:ascii="Times New Roman" w:hAnsi="Times New Roman" w:eastAsia="FangSong_GB2312" w:cs="FangSong_GB2312"/>
          <w:color w:val="000000"/>
          <w:kern w:val="0"/>
          <w:sz w:val="32"/>
          <w:szCs w:val="32"/>
        </w:rPr>
        <w:t>指单位为完成特定的行政工作任务或事业发展目标，在基本支出之外发生的各项支出。</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十三、上缴上级支出：</w:t>
      </w:r>
      <w:r>
        <w:rPr>
          <w:rFonts w:ascii="Times New Roman" w:hAnsi="Times New Roman" w:eastAsia="FangSong_GB2312" w:cs="FangSong_GB2312"/>
          <w:kern w:val="0"/>
          <w:sz w:val="32"/>
          <w:szCs w:val="32"/>
        </w:rPr>
        <w:t>指事业单位按照财政部门和主管部门的规定上缴上级单位的支出。</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十四、经营支出：</w:t>
      </w:r>
      <w:r>
        <w:rPr>
          <w:rFonts w:ascii="Times New Roman" w:hAnsi="Times New Roman" w:eastAsia="FangSong_GB2312" w:cs="FangSong_GB2312"/>
          <w:kern w:val="0"/>
          <w:sz w:val="32"/>
          <w:szCs w:val="32"/>
        </w:rPr>
        <w:t>指事业单位在专业业务活动及其辅助活动之外开展非独立核算经营活动发生的支出。</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十五、对附属单位补助支出：</w:t>
      </w:r>
      <w:r>
        <w:rPr>
          <w:rFonts w:ascii="Times New Roman" w:hAnsi="Times New Roman" w:eastAsia="FangSong_GB2312" w:cs="FangSong_GB2312"/>
          <w:kern w:val="0"/>
          <w:sz w:val="32"/>
          <w:szCs w:val="32"/>
        </w:rPr>
        <w:t>指事业单位用财政拨款收入之外的收入对附属单位补助发生的支出。</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Times New Roman" w:cs="Times New Roman"/>
          <w:kern w:val="0"/>
          <w:sz w:val="24"/>
        </w:rPr>
      </w:pPr>
      <w:r>
        <w:rPr>
          <w:rFonts w:ascii="Times New Roman" w:hAnsi="Times New Roman" w:eastAsia="FangSong_GB2312" w:cs="FangSong_GB2312"/>
          <w:b/>
          <w:bCs/>
          <w:kern w:val="0"/>
          <w:sz w:val="32"/>
          <w:szCs w:val="32"/>
        </w:rPr>
        <w:t>十六、“三公”经费：</w:t>
      </w:r>
      <w:r>
        <w:rPr>
          <w:rFonts w:ascii="Times New Roman" w:hAnsi="Times New Roman" w:eastAsia="FangSong_GB2312" w:cs="FangSong_GB2312"/>
          <w:kern w:val="0"/>
          <w:sz w:val="32"/>
          <w:szCs w:val="32"/>
        </w:rPr>
        <w:t>指部门用财政拨款安排的因公出国（境）费、公务用车购置及运行维护费和公务接待费。其中，因公出国（境）费反映部门公务出国（境）的国际旅费、国外城市间交通费、住宿费、伙食费、培训费、公杂费等支出；公务用车购置及运行维护费反映部门公务用车购置支出（含车辆购置税、牌照费）以及按规定保留的公务用车燃料费、</w:t>
      </w:r>
      <w:r>
        <w:rPr>
          <w:rFonts w:ascii="Times New Roman" w:hAnsi="Times New Roman" w:eastAsia="FangSong_GB2312" w:cs="FangSong_GB2312"/>
          <w:color w:val="000000"/>
          <w:kern w:val="0"/>
          <w:sz w:val="32"/>
          <w:szCs w:val="32"/>
        </w:rPr>
        <w:t>新能源汽车充电费、</w:t>
      </w:r>
      <w:r>
        <w:rPr>
          <w:rFonts w:ascii="Times New Roman" w:hAnsi="Times New Roman" w:eastAsia="FangSong_GB2312" w:cs="FangSong_GB2312"/>
          <w:kern w:val="0"/>
          <w:sz w:val="32"/>
          <w:szCs w:val="32"/>
        </w:rPr>
        <w:t>维修费、过路过桥费、保险费、安全奖励费用等支出；公务接待费反映部门按规定开支的各类公务接待（含外宾接待）费用。</w:t>
      </w:r>
    </w:p>
    <w:p>
      <w:pPr>
        <w:pStyle w:val="31"/>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rPr>
          <w:rFonts w:ascii="Times New Roman" w:hAnsi="Times New Roman" w:eastAsia="FangSong_GB2312" w:cs="FangSong_GB2312"/>
          <w:kern w:val="0"/>
          <w:sz w:val="32"/>
          <w:szCs w:val="32"/>
        </w:rPr>
      </w:pPr>
      <w:r>
        <w:rPr>
          <w:rFonts w:ascii="Times New Roman" w:hAnsi="Times New Roman" w:eastAsia="FangSong_GB2312" w:cs="FangSong_GB2312"/>
          <w:b/>
          <w:bCs/>
          <w:kern w:val="0"/>
          <w:sz w:val="32"/>
          <w:szCs w:val="32"/>
        </w:rPr>
        <w:t>十七、机关运行经费：</w:t>
      </w:r>
      <w:r>
        <w:rPr>
          <w:rFonts w:ascii="Times New Roman" w:hAnsi="Times New Roman" w:eastAsia="FangSong_GB2312" w:cs="FangSong_GB2312"/>
          <w:kern w:val="0"/>
          <w:sz w:val="32"/>
          <w:szCs w:val="32"/>
        </w:rPr>
        <w:t>指行政单位和参照公务员法管理的事业单位财政拨款基本支出中的公用经费支出。</w:t>
      </w:r>
    </w:p>
    <w:p>
      <w:pPr>
        <w:pStyle w:val="31"/>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FangSong_GB2312" w:cs="FangSong_GB2312"/>
          <w:kern w:val="0"/>
          <w:sz w:val="32"/>
          <w:szCs w:val="32"/>
        </w:rPr>
      </w:pPr>
    </w:p>
    <w:p>
      <w:pPr>
        <w:pStyle w:val="3"/>
        <w:keepNext w:val="0"/>
        <w:keepLines w:val="0"/>
        <w:pageBreakBefore w:val="0"/>
        <w:widowControl/>
        <w:kinsoku/>
        <w:wordWrap/>
        <w:overflowPunct/>
        <w:topLinePunct w:val="0"/>
        <w:bidi w:val="0"/>
        <w:adjustRightInd/>
        <w:spacing w:before="299" w:after="299" w:line="600" w:lineRule="exact"/>
        <w:jc w:val="center"/>
        <w:rPr>
          <w:rFonts w:ascii="Times New Roman" w:hAnsi="Times New Roman" w:eastAsia="Times New Roman" w:cs="Times New Roman"/>
          <w:kern w:val="0"/>
          <w:sz w:val="36"/>
          <w:szCs w:val="36"/>
        </w:rPr>
      </w:pPr>
      <w:r>
        <w:rPr>
          <w:rFonts w:ascii="Times New Roman" w:hAnsi="Times New Roman" w:eastAsia="fang_zheng_xiao_biao_song_ti" w:cs="fang_zheng_xiao_biao_song_ti"/>
          <w:kern w:val="0"/>
          <w:sz w:val="36"/>
          <w:szCs w:val="36"/>
        </w:rPr>
        <w:t>第四部分</w:t>
      </w:r>
      <w:r>
        <w:rPr>
          <w:rFonts w:hint="eastAsia" w:ascii="Times New Roman" w:hAnsi="Times New Roman" w:eastAsia="宋体" w:cs="fang_zheng_xiao_biao_song_ti"/>
          <w:kern w:val="0"/>
          <w:sz w:val="36"/>
          <w:szCs w:val="36"/>
          <w:lang w:val="en-US" w:eastAsia="zh-CN"/>
        </w:rPr>
        <w:t xml:space="preserve"> </w:t>
      </w:r>
      <w:r>
        <w:rPr>
          <w:rFonts w:ascii="Times New Roman" w:hAnsi="Times New Roman" w:eastAsia="fang_zheng_xiao_biao_song_ti" w:cs="fang_zheng_xiao_biao_song_ti"/>
          <w:kern w:val="0"/>
          <w:sz w:val="36"/>
          <w:szCs w:val="36"/>
        </w:rPr>
        <w:t>决算公开联系方式及信息反馈渠道</w:t>
      </w:r>
    </w:p>
    <w:p>
      <w:pPr>
        <w:pStyle w:val="31"/>
        <w:keepLines w:val="0"/>
        <w:pageBreakBefore w:val="0"/>
        <w:widowControl/>
        <w:kinsoku/>
        <w:wordWrap/>
        <w:overflowPunct/>
        <w:topLinePunct w:val="0"/>
        <w:bidi w:val="0"/>
        <w:adjustRightInd/>
        <w:spacing w:before="240" w:after="240" w:line="600" w:lineRule="exact"/>
        <w:ind w:firstLine="640"/>
        <w:jc w:val="left"/>
        <w:rPr>
          <w:rFonts w:ascii="Times New Roman" w:hAnsi="Times New Roman" w:eastAsia="FangSong_GB2312" w:cs="FangSong_GB2312"/>
          <w:kern w:val="0"/>
          <w:sz w:val="32"/>
          <w:szCs w:val="32"/>
        </w:rPr>
      </w:pPr>
    </w:p>
    <w:p>
      <w:pPr>
        <w:pStyle w:val="31"/>
        <w:keepLines w:val="0"/>
        <w:pageBreakBefore w:val="0"/>
        <w:widowControl/>
        <w:kinsoku/>
        <w:wordWrap/>
        <w:overflowPunct/>
        <w:topLinePunct w:val="0"/>
        <w:bidi w:val="0"/>
        <w:adjustRightInd/>
        <w:spacing w:before="240" w:after="240" w:line="600" w:lineRule="exact"/>
        <w:ind w:firstLine="640"/>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本部门决算公开信息反馈和联系方式：</w:t>
      </w:r>
    </w:p>
    <w:p>
      <w:pPr>
        <w:pStyle w:val="31"/>
        <w:keepLines w:val="0"/>
        <w:pageBreakBefore w:val="0"/>
        <w:widowControl/>
        <w:kinsoku/>
        <w:wordWrap/>
        <w:overflowPunct/>
        <w:topLinePunct w:val="0"/>
        <w:bidi w:val="0"/>
        <w:adjustRightInd/>
        <w:spacing w:before="240" w:after="240" w:line="600" w:lineRule="exact"/>
        <w:ind w:firstLine="640"/>
        <w:jc w:val="left"/>
        <w:rPr>
          <w:rFonts w:ascii="Times New Roman" w:hAnsi="Times New Roman" w:eastAsia="Times New Roman" w:cs="Times New Roman"/>
          <w:kern w:val="0"/>
          <w:sz w:val="24"/>
        </w:rPr>
      </w:pPr>
      <w:r>
        <w:rPr>
          <w:rFonts w:ascii="Times New Roman" w:hAnsi="Times New Roman" w:eastAsia="FangSong_GB2312" w:cs="FangSong_GB2312"/>
          <w:kern w:val="0"/>
          <w:sz w:val="32"/>
          <w:szCs w:val="32"/>
        </w:rPr>
        <w:t>联系人：</w:t>
      </w:r>
      <w:r>
        <w:rPr>
          <w:rFonts w:ascii="Times New Roman" w:hAnsi="Times New Roman" w:eastAsia="FangSong_GB2312" w:cs="FangSong_GB2312"/>
          <w:kern w:val="0"/>
          <w:sz w:val="32"/>
          <w:szCs w:val="32"/>
          <w:lang w:eastAsia="en-US"/>
        </w:rPr>
        <w:t>王溯超</w:t>
      </w:r>
      <w:r>
        <w:rPr>
          <w:rFonts w:ascii="Times New Roman" w:hAnsi="Times New Roman" w:eastAsia="FangSong_GB2312" w:cs="FangSong_GB2312"/>
          <w:kern w:val="0"/>
          <w:sz w:val="32"/>
          <w:szCs w:val="32"/>
        </w:rPr>
        <w:t>联系电话：</w:t>
      </w:r>
      <w:r>
        <w:rPr>
          <w:rFonts w:ascii="Times New Roman" w:hAnsi="Times New Roman" w:eastAsia="FangSong_GB2312" w:cs="FangSong_GB2312"/>
          <w:kern w:val="0"/>
          <w:sz w:val="32"/>
          <w:szCs w:val="32"/>
          <w:lang w:eastAsia="en-US"/>
        </w:rPr>
        <w:t>0471-4863201-</w:t>
      </w:r>
    </w:p>
    <w:p>
      <w:pPr>
        <w:keepLines w:val="0"/>
        <w:pageBreakBefore w:val="0"/>
        <w:widowControl/>
        <w:kinsoku/>
        <w:wordWrap/>
        <w:overflowPunct/>
        <w:topLinePunct w:val="0"/>
        <w:bidi w:val="0"/>
        <w:adjustRightInd/>
        <w:spacing w:before="240" w:after="240" w:line="600" w:lineRule="exact"/>
        <w:jc w:val="left"/>
        <w:rPr>
          <w:rFonts w:ascii="Times New Roman" w:hAnsi="Times New Roman" w:eastAsia="Times New Roman" w:cs="Times New Roman"/>
          <w:kern w:val="0"/>
          <w:sz w:val="24"/>
        </w:rPr>
      </w:pPr>
    </w:p>
    <w:p>
      <w:pPr>
        <w:pStyle w:val="3"/>
        <w:keepNext w:val="0"/>
        <w:keepLines w:val="0"/>
        <w:pageBreakBefore w:val="0"/>
        <w:widowControl/>
        <w:kinsoku/>
        <w:wordWrap/>
        <w:overflowPunct/>
        <w:topLinePunct w:val="0"/>
        <w:bidi w:val="0"/>
        <w:adjustRightInd/>
        <w:spacing w:before="299" w:after="299" w:line="600" w:lineRule="exact"/>
        <w:jc w:val="center"/>
        <w:rPr>
          <w:rFonts w:ascii="Times New Roman" w:hAnsi="Times New Roman" w:eastAsia="Times New Roman" w:cs="Times New Roman"/>
          <w:kern w:val="0"/>
          <w:sz w:val="24"/>
        </w:rPr>
      </w:pPr>
      <w:r>
        <w:rPr>
          <w:rFonts w:ascii="Times New Roman" w:hAnsi="Times New Roman" w:eastAsia="fang_zheng_xiao_biao_song_ti" w:cs="fang_zheng_xiao_biao_song_ti"/>
          <w:kern w:val="0"/>
          <w:sz w:val="36"/>
          <w:szCs w:val="36"/>
        </w:rPr>
        <w:t>第五部分</w:t>
      </w:r>
      <w:r>
        <w:rPr>
          <w:rFonts w:hint="eastAsia" w:ascii="Times New Roman" w:hAnsi="Times New Roman" w:eastAsia="宋体" w:cs="fang_zheng_xiao_biao_song_ti"/>
          <w:kern w:val="0"/>
          <w:sz w:val="36"/>
          <w:szCs w:val="36"/>
          <w:lang w:val="en-US" w:eastAsia="zh-CN"/>
        </w:rPr>
        <w:t xml:space="preserve"> </w:t>
      </w:r>
      <w:r>
        <w:rPr>
          <w:rFonts w:ascii="Times New Roman" w:hAnsi="Times New Roman" w:eastAsia="fang_zheng_xiao_biao_song_ti" w:cs="fang_zheng_xiao_biao_song_ti"/>
          <w:kern w:val="0"/>
          <w:sz w:val="36"/>
          <w:szCs w:val="36"/>
        </w:rPr>
        <w:t>部门决算表</w:t>
      </w:r>
    </w:p>
    <w:p>
      <w:pPr>
        <w:pStyle w:val="31"/>
        <w:keepLines w:val="0"/>
        <w:pageBreakBefore w:val="0"/>
        <w:widowControl/>
        <w:kinsoku/>
        <w:wordWrap/>
        <w:overflowPunct/>
        <w:topLinePunct w:val="0"/>
        <w:bidi w:val="0"/>
        <w:adjustRightInd/>
        <w:spacing w:before="240" w:after="240" w:line="600" w:lineRule="exact"/>
        <w:ind w:firstLine="640"/>
        <w:jc w:val="left"/>
        <w:rPr>
          <w:rFonts w:ascii="Times New Roman" w:hAnsi="Times New Roman"/>
        </w:rPr>
      </w:pPr>
      <w:r>
        <w:rPr>
          <w:rFonts w:ascii="Times New Roman" w:hAnsi="Times New Roman" w:eastAsia="FangSong_GB2312" w:cs="FangSong_GB2312"/>
          <w:kern w:val="0"/>
          <w:sz w:val="32"/>
          <w:szCs w:val="32"/>
        </w:rPr>
        <w:t>见附件。</w:t>
      </w:r>
      <w:bookmarkEnd w:id="0"/>
    </w:p>
    <w:sectPr>
      <w:footerReference r:id="rId6" w:type="default"/>
      <w:pgSz w:w="11906" w:h="16838"/>
      <w:pgMar w:top="2098" w:right="1474" w:bottom="1984" w:left="1587"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小标宋">
    <w:altName w:val="方正小标宋_GBK"/>
    <w:panose1 w:val="00000000000000000000"/>
    <w:charset w:val="86"/>
    <w:family w:val="script"/>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FangSong_GB2312">
    <w:altName w:val="方正仿宋_GBK"/>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times_new_roman">
    <w:altName w:val="国标宋体-超大字符集扩"/>
    <w:panose1 w:val="00000000000000000000"/>
    <w:charset w:val="00"/>
    <w:family w:val="auto"/>
    <w:pitch w:val="default"/>
    <w:sig w:usb0="00000000" w:usb1="00000000" w:usb2="00000000" w:usb3="00000000" w:csb0="00000000" w:csb1="00000000"/>
  </w:font>
  <w:font w:name="Times New Roman Regular">
    <w:altName w:val="DejaVu Sans"/>
    <w:panose1 w:val="02020503050405090304"/>
    <w:charset w:val="00"/>
    <w:family w:val="auto"/>
    <w:pitch w:val="default"/>
    <w:sig w:usb0="00000000" w:usb1="00000000" w:usb2="00000001" w:usb3="00000000" w:csb0="400001BF" w:csb1="DFF70000"/>
  </w:font>
  <w:font w:name="Good Times">
    <w:altName w:val="DejaVu Sans"/>
    <w:panose1 w:val="00000500000000000000"/>
    <w:charset w:val="00"/>
    <w:family w:val="auto"/>
    <w:pitch w:val="default"/>
    <w:sig w:usb0="00000000" w:usb1="00000000" w:usb2="00000000" w:usb3="00000000" w:csb0="00000003" w:csb1="00000000"/>
  </w:font>
  <w:font w:name="fang_zheng_xiao_biao_song_ti">
    <w:altName w:val="国标宋体-超大字符集扩"/>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0" w:after="0" w:line="240"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29</w:t>
    </w:r>
    <w:r>
      <w:rPr>
        <w:rFonts w:ascii="宋体" w:hAnsi="宋体" w:eastAsia="宋体" w:cs="宋体"/>
        <w:sz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rPr>
        <w:rFonts w:hint="eastAsia" w:eastAsia="仿宋"/>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E484EA"/>
    <w:multiLevelType w:val="singleLevel"/>
    <w:tmpl w:val="AEE484E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false"/>
  <w:bordersDoNotSurroundFooter w:val="false"/>
  <w:documentProtection w:enforcement="0"/>
  <w:displayHorizontalDrawingGridEvery w:val="1"/>
  <w:displayVerticalDrawingGridEvery w:val="1"/>
  <w:noPunctuationKerning w:val="true"/>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864"/>
    <w:rsid w:val="033071CF"/>
    <w:rsid w:val="04887288"/>
    <w:rsid w:val="068C3E93"/>
    <w:rsid w:val="0A486B52"/>
    <w:rsid w:val="0C321B11"/>
    <w:rsid w:val="0E8350C2"/>
    <w:rsid w:val="0EA2139B"/>
    <w:rsid w:val="12516798"/>
    <w:rsid w:val="141C0605"/>
    <w:rsid w:val="14E461A8"/>
    <w:rsid w:val="14EA5CE5"/>
    <w:rsid w:val="14EE69F3"/>
    <w:rsid w:val="15C164C0"/>
    <w:rsid w:val="16401DBF"/>
    <w:rsid w:val="16C8346F"/>
    <w:rsid w:val="17A27073"/>
    <w:rsid w:val="18331F75"/>
    <w:rsid w:val="1BBB7A8F"/>
    <w:rsid w:val="1CEA2700"/>
    <w:rsid w:val="21CD354E"/>
    <w:rsid w:val="22DA593E"/>
    <w:rsid w:val="25B71D49"/>
    <w:rsid w:val="25CD1194"/>
    <w:rsid w:val="26E53D27"/>
    <w:rsid w:val="27195933"/>
    <w:rsid w:val="287700A8"/>
    <w:rsid w:val="28E8778B"/>
    <w:rsid w:val="2AC76891"/>
    <w:rsid w:val="2BB81905"/>
    <w:rsid w:val="2CD35496"/>
    <w:rsid w:val="2DDD4176"/>
    <w:rsid w:val="2E0B7727"/>
    <w:rsid w:val="2E8E432B"/>
    <w:rsid w:val="2E920B22"/>
    <w:rsid w:val="2F37730B"/>
    <w:rsid w:val="2F921D46"/>
    <w:rsid w:val="31F807B9"/>
    <w:rsid w:val="364D2448"/>
    <w:rsid w:val="374259B8"/>
    <w:rsid w:val="380A5080"/>
    <w:rsid w:val="3C335C3C"/>
    <w:rsid w:val="3CDC5A84"/>
    <w:rsid w:val="3D8D7D3A"/>
    <w:rsid w:val="3EBD7BD3"/>
    <w:rsid w:val="415369F6"/>
    <w:rsid w:val="445C1CEB"/>
    <w:rsid w:val="45A560D2"/>
    <w:rsid w:val="474A0981"/>
    <w:rsid w:val="4B851076"/>
    <w:rsid w:val="4CDA1B69"/>
    <w:rsid w:val="4EF93AD6"/>
    <w:rsid w:val="503F3330"/>
    <w:rsid w:val="50800F1E"/>
    <w:rsid w:val="51121CFE"/>
    <w:rsid w:val="514E2024"/>
    <w:rsid w:val="51571481"/>
    <w:rsid w:val="54C26FFA"/>
    <w:rsid w:val="54CF22DF"/>
    <w:rsid w:val="54FA45B8"/>
    <w:rsid w:val="55E56952"/>
    <w:rsid w:val="591C2557"/>
    <w:rsid w:val="596B4574"/>
    <w:rsid w:val="5C5B500F"/>
    <w:rsid w:val="5F7D3015"/>
    <w:rsid w:val="5F86633C"/>
    <w:rsid w:val="61CD0301"/>
    <w:rsid w:val="6234166D"/>
    <w:rsid w:val="62D17B5D"/>
    <w:rsid w:val="64DF440C"/>
    <w:rsid w:val="659E00AD"/>
    <w:rsid w:val="67A05CE6"/>
    <w:rsid w:val="690F2EED"/>
    <w:rsid w:val="697A1BEC"/>
    <w:rsid w:val="69FA3354"/>
    <w:rsid w:val="6B820978"/>
    <w:rsid w:val="6BBB5C40"/>
    <w:rsid w:val="6C7034F3"/>
    <w:rsid w:val="6E8201DA"/>
    <w:rsid w:val="6FC2775D"/>
    <w:rsid w:val="711D77A1"/>
    <w:rsid w:val="752D52A3"/>
    <w:rsid w:val="76322AE9"/>
    <w:rsid w:val="76BA26ED"/>
    <w:rsid w:val="781E74D2"/>
    <w:rsid w:val="784C3948"/>
    <w:rsid w:val="78C11D93"/>
    <w:rsid w:val="795A673B"/>
    <w:rsid w:val="79F1144F"/>
    <w:rsid w:val="7B291BC8"/>
    <w:rsid w:val="7BD02338"/>
    <w:rsid w:val="7D861EFD"/>
    <w:rsid w:val="7E4F4915"/>
    <w:rsid w:val="7F8E00D4"/>
    <w:rsid w:val="7FB26BE7"/>
    <w:rsid w:val="BDEC189A"/>
    <w:rsid w:val="F5EFAD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basedOn w:val="1"/>
    <w:next w:val="1"/>
    <w:link w:val="25"/>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Body Text"/>
    <w:basedOn w:val="1"/>
    <w:next w:val="9"/>
    <w:qFormat/>
    <w:uiPriority w:val="0"/>
    <w:pPr>
      <w:spacing w:before="120" w:after="120"/>
    </w:pPr>
    <w:rPr>
      <w:rFonts w:ascii="宋体" w:hAnsi="宋体" w:eastAsia="宋体" w:cs="Times New Roman"/>
      <w:b/>
      <w:color w:val="000000" w:themeColor="text1"/>
      <w:kern w:val="2"/>
      <w:szCs w:val="21"/>
      <w:lang w:val="en-US" w:bidi="ar-SA"/>
      <w14:textFill>
        <w14:solidFill>
          <w14:schemeClr w14:val="tx1"/>
        </w14:solidFill>
      </w14:textFill>
    </w:rPr>
  </w:style>
  <w:style w:type="paragraph" w:styleId="9">
    <w:name w:val="Normal (Web)"/>
    <w:basedOn w:val="1"/>
    <w:next w:val="10"/>
    <w:qFormat/>
    <w:uiPriority w:val="0"/>
    <w:pPr>
      <w:spacing w:before="100" w:beforeAutospacing="1" w:after="100" w:afterAutospacing="1"/>
      <w:ind w:left="0" w:right="0"/>
      <w:jc w:val="left"/>
    </w:pPr>
    <w:rPr>
      <w:kern w:val="0"/>
      <w:sz w:val="24"/>
      <w:lang w:val="en-US" w:eastAsia="zh-CN"/>
    </w:rPr>
  </w:style>
  <w:style w:type="paragraph" w:styleId="10">
    <w:name w:val="Body Text First Indent"/>
    <w:basedOn w:val="8"/>
    <w:next w:val="1"/>
    <w:qFormat/>
    <w:uiPriority w:val="0"/>
    <w:pPr>
      <w:widowControl w:val="0"/>
      <w:spacing w:line="0" w:lineRule="atLeast"/>
      <w:ind w:firstLine="420" w:firstLineChars="100"/>
      <w:jc w:val="both"/>
    </w:pPr>
    <w:rPr>
      <w:rFonts w:ascii="Calibri" w:hAnsi="Calibri" w:eastAsia="小标宋" w:cs="Times New Roman"/>
      <w:kern w:val="2"/>
      <w:sz w:val="44"/>
      <w:szCs w:val="24"/>
      <w:lang w:val="en-US" w:eastAsia="zh-CN" w:bidi="ar-SA"/>
    </w:rPr>
  </w:style>
  <w:style w:type="paragraph" w:styleId="11">
    <w:name w:val="toc 5"/>
    <w:basedOn w:val="1"/>
    <w:next w:val="1"/>
    <w:qFormat/>
    <w:uiPriority w:val="0"/>
    <w:pPr>
      <w:ind w:left="840"/>
      <w:jc w:val="left"/>
    </w:pPr>
    <w:rPr>
      <w:sz w:val="20"/>
      <w:szCs w:val="20"/>
    </w:rPr>
  </w:style>
  <w:style w:type="paragraph" w:styleId="12">
    <w:name w:val="toc 3"/>
    <w:basedOn w:val="1"/>
    <w:next w:val="1"/>
    <w:qFormat/>
    <w:uiPriority w:val="0"/>
    <w:pPr>
      <w:adjustRightInd w:val="0"/>
      <w:snapToGrid w:val="0"/>
      <w:spacing w:line="360" w:lineRule="auto"/>
      <w:ind w:firstLine="400" w:firstLineChars="400"/>
      <w:jc w:val="left"/>
    </w:pPr>
    <w:rPr>
      <w:sz w:val="24"/>
      <w:szCs w:val="20"/>
    </w:rPr>
  </w:style>
  <w:style w:type="paragraph" w:styleId="13">
    <w:name w:val="toc 8"/>
    <w:basedOn w:val="1"/>
    <w:next w:val="1"/>
    <w:qFormat/>
    <w:uiPriority w:val="0"/>
    <w:pPr>
      <w:ind w:left="1470"/>
      <w:jc w:val="left"/>
    </w:pPr>
    <w:rPr>
      <w:sz w:val="20"/>
      <w:szCs w:val="20"/>
    </w:rPr>
  </w:style>
  <w:style w:type="paragraph" w:styleId="14">
    <w:name w:val="footer"/>
    <w:basedOn w:val="1"/>
    <w:link w:val="28"/>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adjustRightInd w:val="0"/>
      <w:snapToGrid w:val="0"/>
      <w:spacing w:line="360" w:lineRule="auto"/>
      <w:jc w:val="left"/>
    </w:pPr>
    <w:rPr>
      <w:b/>
      <w:bCs/>
      <w:sz w:val="24"/>
      <w:szCs w:val="20"/>
    </w:rPr>
  </w:style>
  <w:style w:type="paragraph" w:styleId="17">
    <w:name w:val="toc 4"/>
    <w:basedOn w:val="1"/>
    <w:next w:val="1"/>
    <w:qFormat/>
    <w:uiPriority w:val="0"/>
    <w:pPr>
      <w:ind w:left="630"/>
      <w:jc w:val="left"/>
    </w:pPr>
    <w:rPr>
      <w:sz w:val="20"/>
      <w:szCs w:val="20"/>
    </w:rPr>
  </w:style>
  <w:style w:type="paragraph" w:styleId="18">
    <w:name w:val="toc 6"/>
    <w:basedOn w:val="1"/>
    <w:next w:val="1"/>
    <w:qFormat/>
    <w:uiPriority w:val="0"/>
    <w:pPr>
      <w:ind w:left="1050"/>
      <w:jc w:val="left"/>
    </w:pPr>
    <w:rPr>
      <w:sz w:val="20"/>
      <w:szCs w:val="20"/>
    </w:rPr>
  </w:style>
  <w:style w:type="paragraph" w:styleId="19">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20">
    <w:name w:val="toc 9"/>
    <w:basedOn w:val="1"/>
    <w:next w:val="1"/>
    <w:qFormat/>
    <w:uiPriority w:val="0"/>
    <w:pPr>
      <w:ind w:left="1680"/>
      <w:jc w:val="left"/>
    </w:pPr>
    <w:rPr>
      <w:sz w:val="20"/>
      <w:szCs w:val="20"/>
    </w:rPr>
  </w:style>
  <w:style w:type="character" w:styleId="23">
    <w:name w:val="page number"/>
    <w:basedOn w:val="22"/>
    <w:qFormat/>
    <w:uiPriority w:val="0"/>
  </w:style>
  <w:style w:type="character" w:styleId="24">
    <w:name w:val="Hyperlink"/>
    <w:basedOn w:val="22"/>
    <w:qFormat/>
    <w:uiPriority w:val="0"/>
    <w:rPr>
      <w:color w:val="0000FF"/>
      <w:u w:val="single"/>
    </w:rPr>
  </w:style>
  <w:style w:type="character" w:customStyle="1" w:styleId="25">
    <w:name w:val="标题 4 Char"/>
    <w:basedOn w:val="22"/>
    <w:link w:val="5"/>
    <w:qFormat/>
    <w:uiPriority w:val="0"/>
    <w:rPr>
      <w:rFonts w:ascii="Cambria" w:hAnsi="Cambria"/>
      <w:b/>
      <w:bCs/>
      <w:kern w:val="2"/>
      <w:sz w:val="28"/>
      <w:szCs w:val="28"/>
    </w:rPr>
  </w:style>
  <w:style w:type="paragraph" w:styleId="26">
    <w:name w:val="No Spacing"/>
    <w:link w:val="27"/>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7">
    <w:name w:val="无间隔 Char"/>
    <w:link w:val="26"/>
    <w:qFormat/>
    <w:locked/>
    <w:uiPriority w:val="0"/>
    <w:rPr>
      <w:rFonts w:eastAsia="仿宋_GB2312"/>
      <w:sz w:val="30"/>
      <w:szCs w:val="22"/>
      <w:lang w:bidi="ar-SA"/>
    </w:rPr>
  </w:style>
  <w:style w:type="character" w:customStyle="1" w:styleId="28">
    <w:name w:val="页脚 Char"/>
    <w:basedOn w:val="22"/>
    <w:link w:val="14"/>
    <w:qFormat/>
    <w:uiPriority w:val="0"/>
    <w:rPr>
      <w:kern w:val="2"/>
      <w:sz w:val="18"/>
      <w:szCs w:val="18"/>
    </w:rPr>
  </w:style>
  <w:style w:type="paragraph" w:styleId="29">
    <w:name w:val="List Paragraph"/>
    <w:basedOn w:val="1"/>
    <w:qFormat/>
    <w:uiPriority w:val="0"/>
    <w:pPr>
      <w:ind w:firstLine="420" w:firstLineChars="200"/>
    </w:pPr>
  </w:style>
  <w:style w:type="character" w:customStyle="1" w:styleId="30">
    <w:name w:val="标题 3 Char"/>
    <w:basedOn w:val="22"/>
    <w:link w:val="4"/>
    <w:qFormat/>
    <w:uiPriority w:val="0"/>
    <w:rPr>
      <w:b/>
      <w:bCs/>
      <w:kern w:val="2"/>
      <w:sz w:val="32"/>
      <w:szCs w:val="32"/>
    </w:rPr>
  </w:style>
  <w:style w:type="paragraph" w:customStyle="1" w:styleId="31">
    <w:name w:val="MsoNormal"/>
    <w:basedOn w:val="1"/>
    <w:qFormat/>
    <w:uiPriority w:val="0"/>
  </w:style>
  <w:style w:type="paragraph" w:customStyle="1" w:styleId="32">
    <w:name w:val="Table Text"/>
    <w:basedOn w:val="1"/>
    <w:semiHidden/>
    <w:qFormat/>
    <w:uiPriority w:val="0"/>
    <w:rPr>
      <w:rFonts w:ascii="宋体" w:hAnsi="宋体" w:eastAsia="宋体" w:cs="宋体"/>
      <w:sz w:val="20"/>
      <w:szCs w:val="20"/>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71</Pages>
  <Words>10937</Words>
  <Characters>11775</Characters>
  <Lines>1</Lines>
  <Paragraphs>1</Paragraphs>
  <TotalTime>29</TotalTime>
  <ScaleCrop>false</ScaleCrop>
  <LinksUpToDate>false</LinksUpToDate>
  <CharactersWithSpaces>11777</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2022-03-24T04:40:00Z</dcterms:created>
  <dc:creator>Administrator</dc:creator>
  <cp:lastModifiedBy>uos</cp:lastModifiedBy>
  <cp:lastPrinted>2026-08-21T18:35:00Z</cp:lastPrinted>
  <dcterms:modified xsi:type="dcterms:W3CDTF">2026-08-21T16:30:28Z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2BE77042480D4D03B7B58798D5B66E2A_13</vt:lpwstr>
  </property>
  <property fmtid="{D5CDD505-2E9C-101B-9397-08002B2CF9AE}" pid="3" name="KSOProductBuildVer">
    <vt:lpwstr>2052-11.8.2.9980</vt:lpwstr>
  </property>
  <property fmtid="{D5CDD505-2E9C-101B-9397-08002B2CF9AE}" pid="4" name="KSOTemplateDocerSaveRecord">
    <vt:lpwstr>eyJoZGlkIjoiNDA3MGZkZTg5NTM5NjZhMzc0Yjk1MjU5ODkwMzY3MDciLCJ1c2VySWQiOiIzMjQzMjg3MTgifQ==</vt:lpwstr>
  </property>
</Properties>
</file>