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spacing w:line="500" w:lineRule="exact"/>
        <w:jc w:val="center"/>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b/>
          <w:sz w:val="44"/>
          <w:szCs w:val="44"/>
        </w:rPr>
      </w:pPr>
      <w:r>
        <w:rPr>
          <w:rFonts w:hint="eastAsia" w:ascii="宋体" w:hAnsi="宋体"/>
          <w:b/>
          <w:sz w:val="44"/>
          <w:szCs w:val="44"/>
        </w:rPr>
        <w:t>内蒙古自治区实践杂志社</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b/>
          <w:bCs/>
          <w:sz w:val="48"/>
          <w:szCs w:val="48"/>
        </w:rPr>
      </w:pPr>
      <w:r>
        <w:rPr>
          <w:rFonts w:hint="eastAsia"/>
          <w:b/>
          <w:bCs/>
          <w:sz w:val="48"/>
          <w:szCs w:val="48"/>
          <w:lang w:val="en-US" w:eastAsia="zh-CN"/>
        </w:rPr>
        <w:t>2023</w:t>
      </w:r>
      <w:r>
        <w:rPr>
          <w:rFonts w:hint="eastAsia"/>
          <w:b/>
          <w:bCs/>
          <w:sz w:val="48"/>
          <w:szCs w:val="48"/>
        </w:rPr>
        <w:t>年</w:t>
      </w:r>
      <w:r>
        <w:rPr>
          <w:rFonts w:hint="eastAsia"/>
          <w:b/>
          <w:bCs/>
          <w:sz w:val="48"/>
          <w:szCs w:val="48"/>
          <w:lang w:val="en-US" w:eastAsia="zh-CN"/>
        </w:rPr>
        <w:t>度</w:t>
      </w:r>
      <w:r>
        <w:rPr>
          <w:rFonts w:hint="eastAsia"/>
          <w:b/>
          <w:bCs/>
          <w:sz w:val="48"/>
          <w:szCs w:val="48"/>
        </w:rPr>
        <w:t>部门预算公开报告</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48"/>
          <w:szCs w:val="48"/>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sz w:val="48"/>
          <w:szCs w:val="48"/>
        </w:rPr>
      </w:pPr>
    </w:p>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黑体" w:hAnsi="黑体" w:eastAsia="黑体" w:cs="黑体"/>
          <w:i w:val="0"/>
          <w:iCs w:val="0"/>
          <w:highlight w:val="none"/>
        </w:rPr>
      </w:pPr>
      <w:r>
        <w:rPr>
          <w:rFonts w:hint="eastAsia" w:ascii="黑体" w:hAnsi="黑体" w:eastAsia="黑体" w:cs="黑体"/>
          <w:i w:val="0"/>
          <w:iCs w:val="0"/>
          <w:sz w:val="32"/>
          <w:szCs w:val="32"/>
          <w:highlight w:val="none"/>
          <w:lang w:val="en-US" w:eastAsia="zh-CN"/>
        </w:rPr>
        <w:t>批复</w:t>
      </w:r>
      <w:r>
        <w:rPr>
          <w:rFonts w:ascii="黑体" w:hAnsi="黑体" w:eastAsia="黑体" w:cs="黑体"/>
          <w:i w:val="0"/>
          <w:iCs w:val="0"/>
          <w:sz w:val="32"/>
          <w:szCs w:val="32"/>
          <w:highlight w:val="none"/>
        </w:rPr>
        <w:t>时间：</w:t>
      </w:r>
      <w:r>
        <w:rPr>
          <w:rFonts w:ascii="黑体" w:hAnsi="黑体" w:eastAsia="黑体" w:cs="黑体"/>
          <w:i w:val="0"/>
          <w:iCs w:val="0"/>
          <w:sz w:val="32"/>
          <w:szCs w:val="32"/>
          <w:highlight w:val="none"/>
          <w:u w:val="single"/>
        </w:rPr>
        <w:t xml:space="preserve"> </w:t>
      </w:r>
      <w:r>
        <w:rPr>
          <w:rFonts w:hint="eastAsia" w:ascii="黑体" w:hAnsi="黑体" w:eastAsia="黑体" w:cs="黑体"/>
          <w:i w:val="0"/>
          <w:iCs w:val="0"/>
          <w:sz w:val="32"/>
          <w:szCs w:val="32"/>
          <w:highlight w:val="none"/>
          <w:u w:val="single"/>
          <w:lang w:val="en-US" w:eastAsia="zh-CN"/>
        </w:rPr>
        <w:t xml:space="preserve"> 2023 </w:t>
      </w:r>
      <w:r>
        <w:rPr>
          <w:rFonts w:ascii="黑体" w:hAnsi="黑体" w:eastAsia="黑体" w:cs="黑体"/>
          <w:i w:val="0"/>
          <w:iCs w:val="0"/>
          <w:sz w:val="32"/>
          <w:szCs w:val="32"/>
          <w:highlight w:val="none"/>
          <w:u w:val="single"/>
        </w:rPr>
        <w:t xml:space="preserve"> 年 </w:t>
      </w:r>
      <w:r>
        <w:rPr>
          <w:rFonts w:hint="eastAsia" w:ascii="黑体" w:hAnsi="黑体" w:eastAsia="黑体" w:cs="黑体"/>
          <w:i w:val="0"/>
          <w:iCs w:val="0"/>
          <w:sz w:val="32"/>
          <w:szCs w:val="32"/>
          <w:highlight w:val="none"/>
          <w:u w:val="single"/>
          <w:lang w:val="en-US" w:eastAsia="zh-CN"/>
        </w:rPr>
        <w:t xml:space="preserve"> 01</w:t>
      </w:r>
      <w:r>
        <w:rPr>
          <w:rFonts w:ascii="黑体" w:hAnsi="黑体" w:eastAsia="黑体" w:cs="黑体"/>
          <w:i w:val="0"/>
          <w:iCs w:val="0"/>
          <w:sz w:val="32"/>
          <w:szCs w:val="32"/>
          <w:highlight w:val="none"/>
          <w:u w:val="single"/>
        </w:rPr>
        <w:t xml:space="preserve"> 月 </w:t>
      </w:r>
      <w:r>
        <w:rPr>
          <w:rFonts w:hint="eastAsia" w:ascii="黑体" w:hAnsi="黑体" w:eastAsia="黑体" w:cs="黑体"/>
          <w:i w:val="0"/>
          <w:iCs w:val="0"/>
          <w:sz w:val="32"/>
          <w:szCs w:val="32"/>
          <w:highlight w:val="none"/>
          <w:u w:val="single"/>
          <w:lang w:val="en-US" w:eastAsia="zh-CN"/>
        </w:rPr>
        <w:t>16</w:t>
      </w:r>
      <w:r>
        <w:rPr>
          <w:rFonts w:ascii="黑体" w:hAnsi="黑体" w:eastAsia="黑体" w:cs="黑体"/>
          <w:i w:val="0"/>
          <w:iCs w:val="0"/>
          <w:sz w:val="32"/>
          <w:szCs w:val="32"/>
          <w:highlight w:val="none"/>
          <w:u w:val="single"/>
        </w:rPr>
        <w:t xml:space="preserve"> 日</w:t>
      </w:r>
    </w:p>
    <w:p>
      <w:pPr>
        <w:pStyle w:val="2"/>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黑体" w:hAnsi="黑体" w:eastAsia="黑体" w:cs="黑体"/>
          <w:i w:val="0"/>
          <w:iCs w:val="0"/>
          <w:highlight w:val="none"/>
        </w:rPr>
      </w:pPr>
      <w:r>
        <w:rPr>
          <w:rFonts w:ascii="黑体" w:hAnsi="黑体" w:eastAsia="黑体" w:cs="黑体"/>
          <w:i w:val="0"/>
          <w:iCs w:val="0"/>
          <w:sz w:val="32"/>
          <w:szCs w:val="32"/>
          <w:highlight w:val="none"/>
        </w:rPr>
        <w:t>公开时间：</w:t>
      </w:r>
      <w:r>
        <w:rPr>
          <w:rFonts w:ascii="黑体" w:hAnsi="黑体" w:eastAsia="黑体" w:cs="黑体"/>
          <w:i w:val="0"/>
          <w:iCs w:val="0"/>
          <w:sz w:val="32"/>
          <w:szCs w:val="32"/>
          <w:highlight w:val="none"/>
          <w:u w:val="single"/>
        </w:rPr>
        <w:t xml:space="preserve">  </w:t>
      </w:r>
      <w:r>
        <w:rPr>
          <w:rFonts w:hint="eastAsia" w:ascii="黑体" w:hAnsi="黑体" w:eastAsia="黑体" w:cs="黑体"/>
          <w:i w:val="0"/>
          <w:iCs w:val="0"/>
          <w:sz w:val="32"/>
          <w:szCs w:val="32"/>
          <w:highlight w:val="none"/>
          <w:u w:val="single"/>
          <w:lang w:val="en-US" w:eastAsia="zh-CN"/>
        </w:rPr>
        <w:t xml:space="preserve">2023 </w:t>
      </w:r>
      <w:r>
        <w:rPr>
          <w:rFonts w:ascii="黑体" w:hAnsi="黑体" w:eastAsia="黑体" w:cs="黑体"/>
          <w:i w:val="0"/>
          <w:iCs w:val="0"/>
          <w:sz w:val="32"/>
          <w:szCs w:val="32"/>
          <w:highlight w:val="none"/>
          <w:u w:val="single"/>
        </w:rPr>
        <w:t xml:space="preserve"> 年 </w:t>
      </w:r>
      <w:r>
        <w:rPr>
          <w:rFonts w:hint="eastAsia" w:ascii="黑体" w:hAnsi="黑体" w:eastAsia="黑体" w:cs="黑体"/>
          <w:i w:val="0"/>
          <w:iCs w:val="0"/>
          <w:sz w:val="32"/>
          <w:szCs w:val="32"/>
          <w:highlight w:val="none"/>
          <w:u w:val="single"/>
          <w:lang w:val="en-US" w:eastAsia="zh-CN"/>
        </w:rPr>
        <w:t xml:space="preserve"> 02</w:t>
      </w:r>
      <w:r>
        <w:rPr>
          <w:rFonts w:ascii="黑体" w:hAnsi="黑体" w:eastAsia="黑体" w:cs="黑体"/>
          <w:i w:val="0"/>
          <w:iCs w:val="0"/>
          <w:sz w:val="32"/>
          <w:szCs w:val="32"/>
          <w:highlight w:val="none"/>
          <w:u w:val="single"/>
        </w:rPr>
        <w:t xml:space="preserve"> 月 </w:t>
      </w:r>
      <w:r>
        <w:rPr>
          <w:rFonts w:hint="eastAsia" w:ascii="黑体" w:hAnsi="黑体" w:eastAsia="黑体" w:cs="黑体"/>
          <w:i w:val="0"/>
          <w:iCs w:val="0"/>
          <w:sz w:val="32"/>
          <w:szCs w:val="32"/>
          <w:highlight w:val="none"/>
          <w:u w:val="single"/>
          <w:lang w:val="en-US" w:eastAsia="zh-CN"/>
        </w:rPr>
        <w:t>02</w:t>
      </w:r>
      <w:r>
        <w:rPr>
          <w:rFonts w:ascii="黑体" w:hAnsi="黑体" w:eastAsia="黑体" w:cs="黑体"/>
          <w:i w:val="0"/>
          <w:iCs w:val="0"/>
          <w:sz w:val="32"/>
          <w:szCs w:val="32"/>
          <w:highlight w:val="none"/>
          <w:u w:val="single"/>
        </w:rPr>
        <w:t xml:space="preserve"> 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sz w:val="36"/>
          <w:szCs w:val="36"/>
          <w:lang w:val="en-US" w:eastAsia="zh-CN"/>
        </w:rPr>
      </w:pPr>
    </w:p>
    <w:p>
      <w:pPr>
        <w:keepLines w:val="0"/>
        <w:pageBreakBefore w:val="0"/>
        <w:widowControl w:val="0"/>
        <w:kinsoku/>
        <w:wordWrap/>
        <w:overflowPunct/>
        <w:topLinePunct w:val="0"/>
        <w:autoSpaceDE/>
        <w:autoSpaceDN/>
        <w:bidi w:val="0"/>
        <w:spacing w:line="500" w:lineRule="exact"/>
        <w:jc w:val="both"/>
        <w:textAlignment w:val="auto"/>
        <w:rPr>
          <w:rFonts w:hint="eastAsia"/>
          <w:sz w:val="36"/>
          <w:szCs w:val="36"/>
          <w:lang w:val="en-US" w:eastAsia="zh-CN"/>
        </w:rPr>
      </w:pPr>
    </w:p>
    <w:p>
      <w:pPr>
        <w:keepLines w:val="0"/>
        <w:pageBreakBefore w:val="0"/>
        <w:widowControl w:val="0"/>
        <w:kinsoku/>
        <w:wordWrap/>
        <w:overflowPunct/>
        <w:topLinePunct w:val="0"/>
        <w:autoSpaceDE/>
        <w:autoSpaceDN/>
        <w:bidi w:val="0"/>
        <w:spacing w:line="500" w:lineRule="exact"/>
        <w:jc w:val="center"/>
        <w:textAlignment w:val="auto"/>
        <w:rPr>
          <w:rFonts w:hint="eastAsia"/>
          <w:sz w:val="36"/>
          <w:szCs w:val="36"/>
          <w:lang w:val="en-US" w:eastAsia="zh-CN"/>
        </w:rPr>
      </w:pPr>
    </w:p>
    <w:p>
      <w:pPr>
        <w:pStyle w:val="4"/>
        <w:keepLines w:val="0"/>
        <w:pageBreakBefore w:val="0"/>
        <w:widowControl w:val="0"/>
        <w:tabs>
          <w:tab w:val="left" w:pos="4533"/>
        </w:tabs>
        <w:kinsoku/>
        <w:wordWrap/>
        <w:overflowPunct/>
        <w:topLinePunct w:val="0"/>
        <w:autoSpaceDE/>
        <w:autoSpaceDN/>
        <w:bidi w:val="0"/>
        <w:spacing w:before="0" w:after="0" w:line="500" w:lineRule="exact"/>
        <w:ind w:firstLine="0" w:firstLineChars="0"/>
        <w:jc w:val="center"/>
        <w:textAlignment w:val="auto"/>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Pr>
        <w:pStyle w:val="6"/>
        <w:keepLines w:val="0"/>
        <w:pageBreakBefore w:val="0"/>
        <w:widowControl w:val="0"/>
        <w:kinsoku/>
        <w:wordWrap/>
        <w:overflowPunct/>
        <w:topLinePunct w:val="0"/>
        <w:autoSpaceDE/>
        <w:autoSpaceDN/>
        <w:bidi w:val="0"/>
        <w:spacing w:after="0" w:line="500" w:lineRule="exact"/>
        <w:textAlignment w:val="auto"/>
        <w:rPr>
          <w:rFonts w:ascii="黑体" w:hAnsi="黑体" w:eastAsia="黑体" w:cs="黑体"/>
          <w:sz w:val="32"/>
          <w:szCs w:val="32"/>
        </w:rPr>
      </w:pPr>
      <w:r>
        <w:rPr>
          <w:rFonts w:hint="eastAsia" w:ascii="黑体" w:hAnsi="黑体" w:eastAsia="黑体" w:cs="黑体"/>
          <w:sz w:val="32"/>
          <w:szCs w:val="32"/>
        </w:rPr>
        <w:t>第一部分 部门概况</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w w:val="95"/>
          <w:sz w:val="32"/>
          <w:szCs w:val="32"/>
        </w:rPr>
        <w:t>一、主要职能职责</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二、部门机构设置及预算单位构成情况</w:t>
      </w:r>
    </w:p>
    <w:p>
      <w:pPr>
        <w:pStyle w:val="6"/>
        <w:keepLines w:val="0"/>
        <w:pageBreakBefore w:val="0"/>
        <w:widowControl w:val="0"/>
        <w:kinsoku/>
        <w:wordWrap/>
        <w:overflowPunct/>
        <w:topLinePunct w:val="0"/>
        <w:autoSpaceDE/>
        <w:autoSpaceDN/>
        <w:bidi w:val="0"/>
        <w:spacing w:after="0" w:line="500" w:lineRule="exact"/>
        <w:textAlignment w:val="auto"/>
        <w:rPr>
          <w:rFonts w:ascii="黑体" w:hAnsi="黑体" w:eastAsia="黑体" w:cs="黑体"/>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2023</w:t>
      </w:r>
      <w:r>
        <w:rPr>
          <w:rFonts w:hint="eastAsia" w:ascii="仿宋" w:hAnsi="仿宋" w:eastAsia="仿宋" w:cs="仿宋"/>
          <w:sz w:val="32"/>
          <w:szCs w:val="32"/>
        </w:rPr>
        <w:t>年度部门主要工作任务及目标</w:t>
      </w:r>
    </w:p>
    <w:p>
      <w:pPr>
        <w:pStyle w:val="6"/>
        <w:keepLines w:val="0"/>
        <w:pageBreakBefore w:val="0"/>
        <w:widowControl w:val="0"/>
        <w:kinsoku/>
        <w:wordWrap/>
        <w:overflowPunct/>
        <w:topLinePunct w:val="0"/>
        <w:autoSpaceDE/>
        <w:autoSpaceDN/>
        <w:bidi w:val="0"/>
        <w:spacing w:after="0" w:line="500" w:lineRule="exact"/>
        <w:textAlignment w:val="auto"/>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二</w:t>
      </w:r>
      <w:r>
        <w:rPr>
          <w:rFonts w:hint="eastAsia" w:ascii="黑体" w:hAnsi="黑体" w:eastAsia="黑体" w:cs="黑体"/>
          <w:sz w:val="32"/>
          <w:szCs w:val="32"/>
        </w:rPr>
        <w:t xml:space="preserve">部分 </w:t>
      </w:r>
      <w:r>
        <w:rPr>
          <w:rFonts w:hint="eastAsia" w:ascii="黑体" w:hAnsi="黑体" w:eastAsia="黑体" w:cs="黑体"/>
          <w:sz w:val="32"/>
          <w:szCs w:val="32"/>
          <w:lang w:val="en-US" w:eastAsia="zh-CN"/>
        </w:rPr>
        <w:t>2023</w:t>
      </w:r>
      <w:r>
        <w:rPr>
          <w:rFonts w:hint="eastAsia" w:ascii="黑体" w:hAnsi="黑体" w:eastAsia="黑体" w:cs="黑体"/>
          <w:sz w:val="32"/>
          <w:szCs w:val="32"/>
        </w:rPr>
        <w:t>年度部门预算情况说明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一、收支预算总体情况说明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二、收入预算情况说明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三、支出预算情况说明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十、项目支出预算情况说明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十三、国有资产占用情况说明</w:t>
      </w:r>
    </w:p>
    <w:p>
      <w:pPr>
        <w:pStyle w:val="6"/>
        <w:keepLines w:val="0"/>
        <w:pageBreakBefore w:val="0"/>
        <w:widowControl w:val="0"/>
        <w:kinsoku/>
        <w:wordWrap/>
        <w:overflowPunct/>
        <w:topLinePunct w:val="0"/>
        <w:autoSpaceDE/>
        <w:autoSpaceDN/>
        <w:bidi w:val="0"/>
        <w:spacing w:after="0" w:line="500" w:lineRule="exact"/>
        <w:textAlignment w:val="auto"/>
        <w:rPr>
          <w:rFonts w:hint="eastAsia" w:ascii="仿宋" w:hAnsi="仿宋" w:eastAsia="仿宋" w:cs="仿宋"/>
          <w:sz w:val="32"/>
          <w:szCs w:val="32"/>
        </w:rPr>
      </w:pPr>
      <w:r>
        <w:rPr>
          <w:rFonts w:hint="eastAsia" w:ascii="仿宋" w:hAnsi="仿宋" w:eastAsia="仿宋" w:cs="仿宋"/>
          <w:sz w:val="32"/>
          <w:szCs w:val="32"/>
        </w:rPr>
        <w:t>十四、预算绩效目标设置情况说明</w:t>
      </w:r>
    </w:p>
    <w:p>
      <w:pPr>
        <w:keepLines w:val="0"/>
        <w:pageBreakBefore w:val="0"/>
        <w:widowControl w:val="0"/>
        <w:kinsoku/>
        <w:wordWrap/>
        <w:overflowPunct/>
        <w:topLinePunct w:val="0"/>
        <w:autoSpaceDE/>
        <w:autoSpaceDN/>
        <w:bidi w:val="0"/>
        <w:spacing w:line="50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三</w:t>
      </w:r>
      <w:r>
        <w:rPr>
          <w:rFonts w:hint="eastAsia" w:ascii="黑体" w:hAnsi="黑体" w:eastAsia="黑体" w:cs="黑体"/>
          <w:sz w:val="32"/>
          <w:szCs w:val="32"/>
        </w:rPr>
        <w:t>部分 名词解释</w:t>
      </w:r>
    </w:p>
    <w:p>
      <w:pPr>
        <w:pStyle w:val="2"/>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部分 </w:t>
      </w:r>
      <w:r>
        <w:rPr>
          <w:rFonts w:hint="eastAsia" w:ascii="黑体" w:hAnsi="黑体" w:eastAsia="黑体" w:cs="黑体"/>
          <w:sz w:val="32"/>
          <w:szCs w:val="32"/>
          <w:lang w:val="en-US" w:eastAsia="zh-CN"/>
        </w:rPr>
        <w:t>预算公开联系方式信息反馈渠道</w:t>
      </w:r>
    </w:p>
    <w:p>
      <w:pPr>
        <w:pStyle w:val="6"/>
        <w:keepLines w:val="0"/>
        <w:pageBreakBefore w:val="0"/>
        <w:widowControl w:val="0"/>
        <w:kinsoku/>
        <w:wordWrap/>
        <w:overflowPunct/>
        <w:topLinePunct w:val="0"/>
        <w:autoSpaceDE/>
        <w:autoSpaceDN/>
        <w:bidi w:val="0"/>
        <w:spacing w:after="0" w:line="500" w:lineRule="exact"/>
        <w:textAlignment w:val="auto"/>
        <w:rPr>
          <w:rFonts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五</w:t>
      </w:r>
      <w:r>
        <w:rPr>
          <w:rFonts w:hint="eastAsia" w:ascii="黑体" w:hAnsi="黑体" w:eastAsia="黑体" w:cs="黑体"/>
          <w:sz w:val="32"/>
          <w:szCs w:val="32"/>
        </w:rPr>
        <w:t xml:space="preserve">部分 </w:t>
      </w:r>
      <w:r>
        <w:rPr>
          <w:rFonts w:hint="eastAsia" w:ascii="黑体" w:hAnsi="黑体" w:eastAsia="黑体" w:cs="黑体"/>
          <w:sz w:val="32"/>
          <w:szCs w:val="32"/>
          <w:lang w:val="en-US" w:eastAsia="zh-CN"/>
        </w:rPr>
        <w:t>2023</w:t>
      </w:r>
      <w:r>
        <w:rPr>
          <w:rFonts w:hint="eastAsia" w:ascii="黑体" w:hAnsi="黑体" w:eastAsia="黑体" w:cs="黑体"/>
          <w:sz w:val="32"/>
          <w:szCs w:val="32"/>
        </w:rPr>
        <w:t>年度部门预算表</w:t>
      </w:r>
    </w:p>
    <w:p>
      <w:pPr>
        <w:pStyle w:val="6"/>
        <w:keepLines w:val="0"/>
        <w:pageBreakBefore w:val="0"/>
        <w:widowControl w:val="0"/>
        <w:numPr>
          <w:ilvl w:val="0"/>
          <w:numId w:val="1"/>
        </w:numPr>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收支总表</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二、收入总表</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w w:val="95"/>
          <w:sz w:val="32"/>
          <w:szCs w:val="32"/>
        </w:rPr>
        <w:t>三、支出总表</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w w:val="95"/>
          <w:sz w:val="32"/>
          <w:szCs w:val="32"/>
        </w:rPr>
        <w:t>四、财政拨款收支总表</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九、国有资本经营预算支出表</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十、项目支出表</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sz w:val="32"/>
          <w:szCs w:val="32"/>
        </w:rPr>
        <w:t>十一、项目绩效目标表</w:t>
      </w:r>
    </w:p>
    <w:p>
      <w:pPr>
        <w:pStyle w:val="6"/>
        <w:keepLines w:val="0"/>
        <w:pageBreakBefore w:val="0"/>
        <w:widowControl w:val="0"/>
        <w:kinsoku/>
        <w:wordWrap/>
        <w:overflowPunct/>
        <w:topLinePunct w:val="0"/>
        <w:autoSpaceDE/>
        <w:autoSpaceDN/>
        <w:bidi w:val="0"/>
        <w:spacing w:after="0" w:line="500" w:lineRule="exact"/>
        <w:textAlignment w:val="auto"/>
        <w:rPr>
          <w:rFonts w:ascii="仿宋" w:hAnsi="仿宋" w:eastAsia="仿宋" w:cs="仿宋"/>
          <w:sz w:val="32"/>
          <w:szCs w:val="32"/>
        </w:rPr>
      </w:pPr>
      <w:r>
        <w:rPr>
          <w:rFonts w:hint="eastAsia" w:ascii="仿宋" w:hAnsi="仿宋" w:eastAsia="仿宋" w:cs="仿宋"/>
          <w:w w:val="95"/>
          <w:sz w:val="32"/>
          <w:szCs w:val="32"/>
        </w:rPr>
        <w:t>十二、政府采购预算表</w:t>
      </w:r>
    </w:p>
    <w:p>
      <w:pPr>
        <w:pStyle w:val="2"/>
        <w:keepLines w:val="0"/>
        <w:pageBreakBefore w:val="0"/>
        <w:widowControl w:val="0"/>
        <w:kinsoku/>
        <w:wordWrap/>
        <w:overflowPunct/>
        <w:topLinePunct w:val="0"/>
        <w:autoSpaceDE/>
        <w:autoSpaceDN/>
        <w:bidi w:val="0"/>
        <w:spacing w:line="500" w:lineRule="exact"/>
        <w:textAlignment w:val="auto"/>
        <w:rPr>
          <w:rFonts w:hint="eastAsia" w:ascii="黑体" w:hAnsi="黑体" w:eastAsia="黑体" w:cs="黑体"/>
          <w:sz w:val="32"/>
          <w:szCs w:val="32"/>
        </w:rPr>
      </w:pPr>
    </w:p>
    <w:p>
      <w:pPr>
        <w:pStyle w:val="2"/>
        <w:keepLines w:val="0"/>
        <w:pageBreakBefore w:val="0"/>
        <w:widowControl w:val="0"/>
        <w:kinsoku/>
        <w:wordWrap/>
        <w:overflowPunct/>
        <w:topLinePunct w:val="0"/>
        <w:autoSpaceDE/>
        <w:autoSpaceDN/>
        <w:bidi w:val="0"/>
        <w:spacing w:line="500" w:lineRule="exact"/>
        <w:textAlignment w:val="auto"/>
        <w:rPr>
          <w:rFonts w:hint="eastAsia" w:ascii="黑体" w:hAnsi="黑体" w:eastAsia="黑体" w:cs="黑体"/>
          <w:sz w:val="32"/>
          <w:szCs w:val="32"/>
        </w:rPr>
        <w:sectPr>
          <w:pgSz w:w="11906" w:h="16838"/>
          <w:pgMar w:top="1417" w:right="1417" w:bottom="1417"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5"/>
        <w:keepLines w:val="0"/>
        <w:pageBreakBefore w:val="0"/>
        <w:widowControl w:val="0"/>
        <w:tabs>
          <w:tab w:val="left" w:pos="4392"/>
        </w:tabs>
        <w:kinsoku/>
        <w:wordWrap/>
        <w:overflowPunct/>
        <w:topLinePunct w:val="0"/>
        <w:autoSpaceDE/>
        <w:autoSpaceDN/>
        <w:bidi w:val="0"/>
        <w:spacing w:line="500" w:lineRule="exact"/>
        <w:jc w:val="center"/>
        <w:textAlignment w:val="auto"/>
      </w:pPr>
      <w:r>
        <w:rPr>
          <w:rFonts w:hint="eastAsia" w:ascii="方正小标宋简体" w:hAnsi="方正小标宋简体" w:eastAsia="方正小标宋简体" w:cs="方正小标宋简体"/>
          <w:sz w:val="36"/>
          <w:szCs w:val="36"/>
        </w:rPr>
        <w:t>第一部分  部门概况</w:t>
      </w:r>
    </w:p>
    <w:p>
      <w:pPr>
        <w:keepLines w:val="0"/>
        <w:pageBreakBefore w:val="0"/>
        <w:widowControl w:val="0"/>
        <w:kinsoku/>
        <w:wordWrap/>
        <w:overflowPunct/>
        <w:topLinePunct w:val="0"/>
        <w:autoSpaceDE/>
        <w:autoSpaceDN/>
        <w:bidi w:val="0"/>
        <w:spacing w:line="500" w:lineRule="exact"/>
        <w:ind w:left="17" w:leftChars="8" w:firstLine="626" w:firstLineChars="195"/>
        <w:textAlignment w:val="auto"/>
        <w:outlineLvl w:val="0"/>
        <w:rPr>
          <w:rFonts w:hint="eastAsia" w:eastAsia="黑体" w:cs="黑体"/>
          <w:b/>
          <w:bCs/>
          <w:sz w:val="32"/>
          <w:szCs w:val="36"/>
        </w:rPr>
      </w:pPr>
      <w:r>
        <w:rPr>
          <w:rFonts w:hint="eastAsia" w:eastAsia="黑体" w:cs="黑体"/>
          <w:b/>
          <w:bCs/>
          <w:sz w:val="32"/>
          <w:szCs w:val="36"/>
        </w:rPr>
        <w:t>一、主要职能职责</w:t>
      </w:r>
    </w:p>
    <w:p>
      <w:pPr>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践杂志社是中共内蒙古自治区委员会直属的正厅级事业单位。杂志社坚持围绕中心、服务大局，充分运用《实践》期刊、网站、学习强国内蒙古学习平台等宣传渠道，推进传播形式和语态创新，打造高传播力传播端，发挥党刊宣传引领作用，推动党的创新理论“飞入寻常百姓家”。</w:t>
      </w:r>
    </w:p>
    <w:p>
      <w:pPr>
        <w:keepLines w:val="0"/>
        <w:pageBreakBefore w:val="0"/>
        <w:widowControl w:val="0"/>
        <w:kinsoku/>
        <w:wordWrap/>
        <w:overflowPunct/>
        <w:topLinePunct w:val="0"/>
        <w:autoSpaceDE/>
        <w:autoSpaceDN/>
        <w:bidi w:val="0"/>
        <w:spacing w:line="500" w:lineRule="exact"/>
        <w:ind w:firstLine="643" w:firstLineChars="200"/>
        <w:textAlignment w:val="auto"/>
        <w:outlineLvl w:val="0"/>
        <w:rPr>
          <w:rFonts w:eastAsia="黑体" w:cs="黑体"/>
          <w:b/>
          <w:bCs/>
          <w:sz w:val="32"/>
          <w:szCs w:val="36"/>
        </w:rPr>
      </w:pPr>
      <w:r>
        <w:rPr>
          <w:rFonts w:hint="eastAsia" w:eastAsia="黑体" w:cs="黑体"/>
          <w:b/>
          <w:bCs/>
          <w:sz w:val="32"/>
          <w:szCs w:val="36"/>
        </w:rPr>
        <w:t>二、部门机构设置及预算单位构成情况</w:t>
      </w:r>
    </w:p>
    <w:p>
      <w:pPr>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根据部门职责分工，本部门内设机构包括办公室、总编室、第一编辑部、第二编辑部、专刊部、学习强国内蒙古学习平台服务中心、融媒体产品制作传播部、网络运维部、通联部、党群工作部以及离退休人员工作处共11个处室。</w:t>
      </w:r>
    </w:p>
    <w:p>
      <w:pPr>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本部门无下属单位。</w:t>
      </w:r>
    </w:p>
    <w:p>
      <w:pPr>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（二）从预算单位构成看，纳入本部门2023年部门汇总预算编制范围的预算单位共计1家，具体为：实践杂志社部门本级。无纳入2023年部门预算编制范围的二级预算单位，故二级单位情况表为空。 </w:t>
      </w:r>
    </w:p>
    <w:p>
      <w:pPr>
        <w:pStyle w:val="2"/>
        <w:keepNext w:val="0"/>
        <w:keepLines w:val="0"/>
        <w:pageBreakBefore w:val="0"/>
        <w:widowControl w:val="0"/>
        <w:kinsoku/>
        <w:wordWrap/>
        <w:overflowPunct/>
        <w:topLinePunct w:val="0"/>
        <w:autoSpaceDE/>
        <w:autoSpaceDN/>
        <w:bidi w:val="0"/>
        <w:adjustRightInd/>
        <w:spacing w:line="500" w:lineRule="exact"/>
        <w:ind w:left="0" w:leftChars="0"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 xml:space="preserve">1. </w:t>
      </w:r>
      <w:r>
        <w:rPr>
          <w:rFonts w:hint="eastAsia" w:ascii="仿宋_GB2312" w:hAnsi="仿宋_GB2312" w:eastAsia="仿宋_GB2312" w:cs="仿宋_GB2312"/>
          <w:b/>
          <w:bCs/>
          <w:sz w:val="32"/>
          <w:szCs w:val="32"/>
          <w:highlight w:val="none"/>
        </w:rPr>
        <w:t>机构及人员基本情况</w:t>
      </w:r>
    </w:p>
    <w:p>
      <w:pPr>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践杂志社为公益二类事业单位，截至2022年末，事业编制数82个，年末实有在职人员64名，退休人员81名。与2021年末相比，在职人员减少1名，退休人员增加1名。在职人员减少的原因为：调走2人、退休2人、调入3人；退休人员增加的原因为：退休2人、去世1人。</w:t>
      </w:r>
    </w:p>
    <w:p>
      <w:pPr>
        <w:keepNext w:val="0"/>
        <w:keepLines w:val="0"/>
        <w:pageBreakBefore w:val="0"/>
        <w:widowControl w:val="0"/>
        <w:suppressLineNumbers w:val="0"/>
        <w:kinsoku/>
        <w:wordWrap/>
        <w:overflowPunct/>
        <w:topLinePunct w:val="0"/>
        <w:autoSpaceDE/>
        <w:autoSpaceDN/>
        <w:bidi w:val="0"/>
        <w:spacing w:line="5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2</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color w:val="000000"/>
          <w:kern w:val="0"/>
          <w:sz w:val="32"/>
          <w:szCs w:val="32"/>
          <w:lang w:val="en-US" w:eastAsia="zh-CN" w:bidi="ar"/>
        </w:rPr>
        <w:t xml:space="preserve">单位设置 </w:t>
      </w:r>
    </w:p>
    <w:p>
      <w:pPr>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纳入本部门2023年部门预算编制范围的单位情况如下：</w:t>
      </w:r>
    </w:p>
    <w:p>
      <w:pPr>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snapToGrid w:val="0"/>
        <w:spacing w:line="500" w:lineRule="exact"/>
        <w:ind w:firstLine="643" w:firstLineChars="200"/>
        <w:jc w:val="center"/>
        <w:textAlignment w:val="auto"/>
        <w:rPr>
          <w:rFonts w:hint="eastAsia" w:eastAsia="仿宋_GB2312"/>
          <w:b/>
          <w:sz w:val="32"/>
          <w:szCs w:val="32"/>
        </w:rPr>
      </w:pPr>
      <w:r>
        <w:rPr>
          <w:rFonts w:hint="eastAsia" w:eastAsia="仿宋_GB2312"/>
          <w:b/>
          <w:sz w:val="32"/>
          <w:szCs w:val="32"/>
        </w:rPr>
        <w:t>单位情况表</w:t>
      </w:r>
    </w:p>
    <w:tbl>
      <w:tblPr>
        <w:tblStyle w:val="9"/>
        <w:tblpPr w:leftFromText="180" w:rightFromText="180" w:vertAnchor="text" w:horzAnchor="page" w:tblpX="1900" w:tblpY="291"/>
        <w:tblOverlap w:val="never"/>
        <w:tblW w:w="0" w:type="auto"/>
        <w:tblInd w:w="0" w:type="dxa"/>
        <w:tblLayout w:type="fixed"/>
        <w:tblCellMar>
          <w:top w:w="0" w:type="dxa"/>
          <w:left w:w="108" w:type="dxa"/>
          <w:bottom w:w="0" w:type="dxa"/>
          <w:right w:w="108" w:type="dxa"/>
        </w:tblCellMar>
      </w:tblPr>
      <w:tblGrid>
        <w:gridCol w:w="1203"/>
        <w:gridCol w:w="3350"/>
        <w:gridCol w:w="3756"/>
      </w:tblGrid>
      <w:tr>
        <w:tblPrEx>
          <w:tblCellMar>
            <w:top w:w="0" w:type="dxa"/>
            <w:left w:w="108" w:type="dxa"/>
            <w:bottom w:w="0" w:type="dxa"/>
            <w:right w:w="108" w:type="dxa"/>
          </w:tblCellMar>
        </w:tblPrEx>
        <w:trPr>
          <w:trHeight w:val="771" w:hRule="atLeast"/>
        </w:trPr>
        <w:tc>
          <w:tcPr>
            <w:tcW w:w="1203"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eastAsia="仿宋_GB2312"/>
                <w:color w:val="000000"/>
                <w:kern w:val="0"/>
                <w:sz w:val="32"/>
                <w:szCs w:val="32"/>
              </w:rPr>
            </w:pPr>
            <w:r>
              <w:rPr>
                <w:rFonts w:hint="eastAsia" w:ascii="仿宋_GB2312" w:hAnsi="黑体" w:eastAsia="仿宋_GB2312" w:cs="宋体"/>
                <w:bCs/>
                <w:color w:val="000000"/>
                <w:kern w:val="0"/>
                <w:sz w:val="32"/>
                <w:szCs w:val="32"/>
              </w:rPr>
              <w:t>序号</w:t>
            </w:r>
          </w:p>
        </w:tc>
        <w:tc>
          <w:tcPr>
            <w:tcW w:w="33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eastAsia="仿宋_GB2312"/>
                <w:bCs/>
                <w:color w:val="000000"/>
                <w:kern w:val="0"/>
                <w:sz w:val="32"/>
                <w:szCs w:val="32"/>
              </w:rPr>
            </w:pPr>
            <w:r>
              <w:rPr>
                <w:rFonts w:hint="eastAsia" w:ascii="仿宋_GB2312" w:hAnsi="黑体" w:eastAsia="仿宋_GB2312" w:cs="宋体"/>
                <w:bCs/>
                <w:color w:val="000000"/>
                <w:kern w:val="0"/>
                <w:sz w:val="32"/>
                <w:szCs w:val="32"/>
              </w:rPr>
              <w:t>单位名称</w:t>
            </w:r>
          </w:p>
        </w:tc>
        <w:tc>
          <w:tcPr>
            <w:tcW w:w="37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单位性质</w:t>
            </w:r>
          </w:p>
        </w:tc>
      </w:tr>
      <w:tr>
        <w:tblPrEx>
          <w:tblCellMar>
            <w:top w:w="0" w:type="dxa"/>
            <w:left w:w="108" w:type="dxa"/>
            <w:bottom w:w="0" w:type="dxa"/>
            <w:right w:w="108" w:type="dxa"/>
          </w:tblCellMar>
        </w:tblPrEx>
        <w:trPr>
          <w:trHeight w:val="790" w:hRule="atLeast"/>
        </w:trPr>
        <w:tc>
          <w:tcPr>
            <w:tcW w:w="12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rPr>
              <w:t>1</w:t>
            </w:r>
          </w:p>
        </w:tc>
        <w:tc>
          <w:tcPr>
            <w:tcW w:w="335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eastAsia="仿宋_GB2312"/>
                <w:bCs/>
                <w:color w:val="000000"/>
                <w:kern w:val="0"/>
                <w:sz w:val="32"/>
                <w:szCs w:val="32"/>
              </w:rPr>
            </w:pPr>
            <w:r>
              <w:rPr>
                <w:rFonts w:hint="eastAsia" w:ascii="仿宋_GB2312" w:eastAsia="仿宋_GB2312"/>
                <w:bCs/>
                <w:color w:val="000000"/>
                <w:kern w:val="0"/>
                <w:sz w:val="32"/>
                <w:szCs w:val="32"/>
              </w:rPr>
              <w:t>实践杂志社本级</w:t>
            </w:r>
          </w:p>
        </w:tc>
        <w:tc>
          <w:tcPr>
            <w:tcW w:w="375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_GB2312" w:eastAsia="仿宋_GB2312"/>
                <w:color w:val="000000"/>
                <w:kern w:val="0"/>
                <w:sz w:val="32"/>
                <w:szCs w:val="32"/>
              </w:rPr>
            </w:pPr>
            <w:r>
              <w:rPr>
                <w:rFonts w:hint="eastAsia" w:ascii="仿宋_GB2312" w:eastAsia="仿宋_GB2312"/>
                <w:color w:val="000000"/>
                <w:kern w:val="0"/>
                <w:sz w:val="32"/>
                <w:szCs w:val="32"/>
                <w:lang w:val="en-US" w:eastAsia="zh-CN"/>
              </w:rPr>
              <w:t>公益二类</w:t>
            </w:r>
            <w:r>
              <w:rPr>
                <w:rFonts w:hint="eastAsia" w:ascii="仿宋_GB2312" w:eastAsia="仿宋_GB2312"/>
                <w:color w:val="000000"/>
                <w:kern w:val="0"/>
                <w:sz w:val="32"/>
                <w:szCs w:val="32"/>
              </w:rPr>
              <w:t>事业单位</w:t>
            </w:r>
          </w:p>
        </w:tc>
      </w:tr>
    </w:tbl>
    <w:p>
      <w:pPr>
        <w:pStyle w:val="2"/>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eastAsia"/>
        </w:rPr>
      </w:pPr>
    </w:p>
    <w:p>
      <w:pPr>
        <w:keepLines w:val="0"/>
        <w:pageBreakBefore w:val="0"/>
        <w:widowControl w:val="0"/>
        <w:kinsoku/>
        <w:wordWrap/>
        <w:overflowPunct/>
        <w:topLinePunct w:val="0"/>
        <w:autoSpaceDE/>
        <w:autoSpaceDN/>
        <w:bidi w:val="0"/>
        <w:spacing w:line="500" w:lineRule="exact"/>
        <w:ind w:firstLine="643" w:firstLineChars="200"/>
        <w:textAlignment w:val="auto"/>
        <w:outlineLvl w:val="0"/>
        <w:rPr>
          <w:rFonts w:eastAsia="仿宋_GB2312" w:cstheme="minorBidi"/>
          <w:sz w:val="32"/>
          <w:szCs w:val="32"/>
        </w:rPr>
      </w:pPr>
      <w:r>
        <w:rPr>
          <w:rFonts w:hint="eastAsia" w:eastAsia="黑体" w:cs="黑体"/>
          <w:b/>
          <w:bCs/>
          <w:sz w:val="32"/>
          <w:szCs w:val="36"/>
        </w:rPr>
        <w:t>三、</w:t>
      </w:r>
      <w:r>
        <w:rPr>
          <w:rFonts w:hint="eastAsia" w:eastAsia="黑体" w:cs="黑体"/>
          <w:b/>
          <w:bCs/>
          <w:sz w:val="32"/>
          <w:szCs w:val="36"/>
          <w:lang w:val="en-US" w:eastAsia="zh-CN"/>
        </w:rPr>
        <w:t>2023</w:t>
      </w:r>
      <w:r>
        <w:rPr>
          <w:rFonts w:hint="eastAsia" w:eastAsia="黑体" w:cs="黑体"/>
          <w:b/>
          <w:bCs/>
          <w:sz w:val="32"/>
          <w:szCs w:val="36"/>
        </w:rPr>
        <w:t>年部门主要工作任务及目标</w:t>
      </w:r>
    </w:p>
    <w:p>
      <w:pPr>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继续深入学习宣传贯彻党的二十大精神，坚持不懈用习近平新时代中国特色社会主义思想凝心铸魂。聚焦落实五大任务、全方位建设“模范自治区”，办好《实践》杂志、“学习强国”内蒙古学习平台、实践杂志网、内蒙古文明网及北疆理论风景线微信公众号等系列新媒体平台，做大做强正面宣传，推进文明内蒙古建设，弘扬“蒙古马精神”，展示好内蒙古充满正能量的人和事，进一步提升内蒙古的正面形象和影响力，为推动内蒙古经济社会持续健康发展增添动力。</w:t>
      </w:r>
    </w:p>
    <w:p>
      <w:pPr>
        <w:pStyle w:val="5"/>
        <w:keepLines w:val="0"/>
        <w:pageBreakBefore w:val="0"/>
        <w:widowControl w:val="0"/>
        <w:tabs>
          <w:tab w:val="left" w:pos="4392"/>
        </w:tabs>
        <w:kinsoku/>
        <w:wordWrap/>
        <w:overflowPunct/>
        <w:topLinePunct w:val="0"/>
        <w:autoSpaceDE/>
        <w:autoSpaceDN/>
        <w:bidi w:val="0"/>
        <w:spacing w:line="50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w:t>
      </w:r>
      <w:r>
        <w:rPr>
          <w:rFonts w:hint="eastAsia" w:ascii="方正小标宋简体" w:hAnsi="方正小标宋简体" w:eastAsia="方正小标宋简体" w:cs="方正小标宋简体"/>
          <w:sz w:val="36"/>
          <w:szCs w:val="36"/>
          <w:lang w:val="en-US" w:eastAsia="zh-CN"/>
        </w:rPr>
        <w:t>二</w:t>
      </w:r>
      <w:r>
        <w:rPr>
          <w:rFonts w:hint="eastAsia" w:ascii="方正小标宋简体" w:hAnsi="方正小标宋简体" w:eastAsia="方正小标宋简体" w:cs="方正小标宋简体"/>
          <w:sz w:val="36"/>
          <w:szCs w:val="36"/>
        </w:rPr>
        <w:t>部分</w:t>
      </w:r>
      <w:r>
        <w:rPr>
          <w:rFonts w:hint="eastAsia" w:ascii="方正小标宋简体" w:hAnsi="方正小标宋简体" w:eastAsia="方正小标宋简体" w:cs="方正小标宋简体"/>
          <w:sz w:val="36"/>
          <w:szCs w:val="36"/>
          <w:lang w:val="en-US" w:eastAsia="zh-CN"/>
        </w:rPr>
        <w:t xml:space="preserve">  2023</w:t>
      </w:r>
      <w:r>
        <w:rPr>
          <w:rFonts w:hint="eastAsia" w:ascii="方正小标宋简体" w:hAnsi="方正小标宋简体" w:eastAsia="方正小标宋简体" w:cs="方正小标宋简体"/>
          <w:sz w:val="36"/>
          <w:szCs w:val="36"/>
        </w:rPr>
        <w:t>年度部门预算情况说明</w:t>
      </w:r>
    </w:p>
    <w:p>
      <w:pPr>
        <w:keepLines w:val="0"/>
        <w:pageBreakBefore w:val="0"/>
        <w:widowControl w:val="0"/>
        <w:kinsoku/>
        <w:wordWrap/>
        <w:overflowPunct/>
        <w:topLinePunct w:val="0"/>
        <w:autoSpaceDE/>
        <w:autoSpaceDN/>
        <w:bidi w:val="0"/>
        <w:spacing w:line="500" w:lineRule="exact"/>
        <w:ind w:firstLine="643" w:firstLineChars="200"/>
        <w:textAlignment w:val="auto"/>
        <w:outlineLvl w:val="0"/>
        <w:rPr>
          <w:rFonts w:eastAsia="黑体" w:cs="黑体"/>
          <w:b/>
          <w:bCs/>
          <w:sz w:val="32"/>
          <w:szCs w:val="36"/>
        </w:rPr>
      </w:pPr>
      <w:r>
        <w:rPr>
          <w:rFonts w:hint="eastAsia" w:eastAsia="黑体" w:cs="黑体"/>
          <w:b/>
          <w:bCs/>
          <w:sz w:val="32"/>
          <w:szCs w:val="36"/>
        </w:rPr>
        <w:t>一、收支预算总体情况说明</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实践杂志社2023年度收入总计5183.66万元、支出预算总计5183.66万元，与上年相比收入减少106.39万元、支出预算总计减少106.39万元，收入减少2.01%，支出减少2.01%。其中：</w:t>
      </w:r>
    </w:p>
    <w:p>
      <w:pPr>
        <w:pStyle w:val="6"/>
        <w:keepLines w:val="0"/>
        <w:pageBreakBefore w:val="0"/>
        <w:widowControl w:val="0"/>
        <w:tabs>
          <w:tab w:val="left" w:pos="4275"/>
        </w:tabs>
        <w:kinsoku/>
        <w:wordWrap/>
        <w:overflowPunct/>
        <w:topLinePunct w:val="0"/>
        <w:autoSpaceDE/>
        <w:autoSpaceDN/>
        <w:bidi w:val="0"/>
        <w:spacing w:after="0" w:line="50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楷体" w:hAnsi="楷体" w:eastAsia="楷体" w:cs="楷体"/>
          <w:b/>
          <w:bCs/>
          <w:sz w:val="32"/>
          <w:szCs w:val="32"/>
          <w:lang w:val="en-US" w:eastAsia="zh-CN"/>
        </w:rPr>
        <w:t>5183.66</w:t>
      </w:r>
      <w:r>
        <w:rPr>
          <w:rFonts w:hint="eastAsia" w:ascii="楷体" w:hAnsi="楷体" w:eastAsia="楷体" w:cs="楷体"/>
          <w:b/>
          <w:bCs/>
          <w:sz w:val="32"/>
          <w:szCs w:val="32"/>
        </w:rPr>
        <w:t>万元。包括：</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1．本年收入合计3779.44万元。</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（1）一般公共预算拨款收入1996.31万元，与上年相比增加282.16万元，增长16.46%。主要原因是在职人员工资性拨款有所增长、增加融媒体信息化改造项目94.1万元、增加“草原英才”项目10万元。</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（2）政府性基金预算拨款收入0万元，与上年相比增加0万元，增长0%。主要原因是不存在此项内容。</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（3）国有资本经营预算拨款收入0万元，与上年相比增加0万元，增长0%。主要原因是不存在此项内容。</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（4）财政专户管理资金收入0万元，与上年相比增加0万元，增长0%。主要原因是不存在此项内容。</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（5）事业收入0万元，与上年相比增加0万元，增长0%。主要原因是不存在此项内容。</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（6）事业单位经营收入1783.13万元，与上年相比增加419.97万元，增长30.81%。主要原因是成立下属传媒公司步入正常运营轨道，广告宣传等营收预算增加。</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（7）上级补助收入0万元，与上年相比增加0万元，增长0%。主要原因是不存在此项内容。</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（8）附属单位上缴收入0万元，与上年相比增加0万元，增长0%。主要原因是不存在此项内容。</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（9）其他收入0万元，与上年相比增加0万元，增长0%。主要原因是不存在此项内容。</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2．上年结转结余为1404.22万元。与上年相比减少808.52万元，减少36.54%。主要原因是总体收入预算增加，总体支出预算有所减少，导致收支预算缺口减少。</w:t>
      </w:r>
    </w:p>
    <w:p>
      <w:pPr>
        <w:pStyle w:val="6"/>
        <w:keepLines w:val="0"/>
        <w:pageBreakBefore w:val="0"/>
        <w:widowControl w:val="0"/>
        <w:tabs>
          <w:tab w:val="left" w:pos="4275"/>
        </w:tabs>
        <w:kinsoku/>
        <w:wordWrap/>
        <w:overflowPunct/>
        <w:topLinePunct w:val="0"/>
        <w:autoSpaceDE/>
        <w:autoSpaceDN/>
        <w:bidi w:val="0"/>
        <w:spacing w:after="0" w:line="50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楷体" w:hAnsi="楷体" w:eastAsia="楷体" w:cs="楷体"/>
          <w:b/>
          <w:bCs/>
          <w:sz w:val="32"/>
          <w:szCs w:val="32"/>
          <w:lang w:val="en-US" w:eastAsia="zh-CN"/>
        </w:rPr>
        <w:t>5183.66</w:t>
      </w:r>
      <w:r>
        <w:rPr>
          <w:rFonts w:hint="eastAsia" w:ascii="楷体" w:hAnsi="楷体" w:eastAsia="楷体" w:cs="楷体"/>
          <w:b/>
          <w:bCs/>
          <w:sz w:val="32"/>
          <w:szCs w:val="32"/>
        </w:rPr>
        <w:t>万元。包括：</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1．本年支出合计5183.66万元。</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（1）科学技术支出（类）10万元，主要用于“草原英才”项目支出。与上年相比增加10万元，增长100%。主要原因是上年没有“草原英才”项目，本年新增。</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文化旅游体育与传媒支出（类）4370.54万元，主要用于人员经费、公用经费和项目经费支出。与上年相比减少318.49万元，减少6.79%。主要原因是根据2022年实际支出情况，对办公费、差旅费等日常支出预算进行了压减。</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社会保障和就业支出（类）490.32万元，主要用于在职人员养老保险和职业年金支出以及退休人员经费。与上年相比增加151.16万元，增加44.57%，主要原因是退休人员补助拨款有所增长、预计新招6名工作人员，相关支出增加。</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（4）卫生健康支出（类）149.6万元，主要用于在职人员医疗保险费用支出。与上年相比增加27.58万元，增加22.6%，主要原因是预计新招6名工作人员，相关支出增加。</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（5）住房保障支出（类）163.2万元，主要用于在职人员住房公积金费用支出。与上年相比增加23.36万元，增加16.7%，主要原因是预计新招6名工作人员，相关支出增加。</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2．年终结转结余为0万元，与上年相比增加0万元，增长0%。主要原因是不存在此项内容。</w:t>
      </w:r>
    </w:p>
    <w:p>
      <w:pPr>
        <w:keepLines w:val="0"/>
        <w:pageBreakBefore w:val="0"/>
        <w:widowControl w:val="0"/>
        <w:kinsoku/>
        <w:wordWrap/>
        <w:overflowPunct/>
        <w:topLinePunct w:val="0"/>
        <w:autoSpaceDE/>
        <w:autoSpaceDN/>
        <w:bidi w:val="0"/>
        <w:spacing w:line="500" w:lineRule="exact"/>
        <w:ind w:firstLine="643" w:firstLineChars="200"/>
        <w:textAlignment w:val="auto"/>
        <w:outlineLvl w:val="0"/>
        <w:rPr>
          <w:rFonts w:eastAsia="黑体" w:cs="黑体"/>
          <w:b/>
          <w:bCs/>
          <w:sz w:val="32"/>
          <w:szCs w:val="36"/>
        </w:rPr>
      </w:pPr>
      <w:r>
        <w:rPr>
          <w:rFonts w:hint="eastAsia" w:eastAsia="黑体" w:cs="黑体"/>
          <w:b/>
          <w:bCs/>
          <w:sz w:val="32"/>
          <w:szCs w:val="36"/>
        </w:rPr>
        <w:t>二、收入预算情况说明</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实践杂志社2023年收入预算合计5183.66万元，包括本年收入3779.44万元，上年结转结余1404.22万元。</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其中：</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本年一般公共预算收入1996.31万元，占38.51%；</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本年政府性基金预算收入0万元，占0%；</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本年国有资本经营预算收入0万元，占0%；</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本年财政专户管理资金0万元，占0%；</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本年事业收入0万元，占0%；</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本年事业单位经营收入1783.13万元，占34.4%；</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本年上级补助收入0万元，占0%；</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本年附属单位上缴收入0万元，占0%；</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本年其他收入0万元，占0%；</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上年结转结余的一般公共预算收入147.37万元，占2.84%；</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上年结转结余的政府性基金预算收入0万元，占0%；</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上年结转结余的国有资本经营预算收入0万元，占0%；</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上年结转结余的财政专户管理资金0万元，占0%；</w:t>
      </w:r>
    </w:p>
    <w:p>
      <w:pPr>
        <w:pStyle w:val="6"/>
        <w:keepLines w:val="0"/>
        <w:pageBreakBefore w:val="0"/>
        <w:widowControl w:val="0"/>
        <w:tabs>
          <w:tab w:val="left" w:pos="5840"/>
          <w:tab w:val="left" w:pos="7858"/>
          <w:tab w:val="left" w:pos="9328"/>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上年结转结余的单位资金1256.85万元，占24.25%；</w:t>
      </w:r>
    </w:p>
    <w:p>
      <w:pPr>
        <w:keepLines w:val="0"/>
        <w:pageBreakBefore w:val="0"/>
        <w:widowControl w:val="0"/>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三、支出预算情况说明</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u w:val="none"/>
          <w:lang w:val="en-US" w:eastAsia="zh-CN"/>
        </w:rPr>
        <w:t>实践杂志社2023</w:t>
      </w:r>
      <w:r>
        <w:rPr>
          <w:rFonts w:hint="eastAsia" w:ascii="仿宋" w:hAnsi="仿宋" w:eastAsia="仿宋" w:cs="仿宋"/>
          <w:sz w:val="32"/>
          <w:szCs w:val="32"/>
        </w:rPr>
        <w:t>年支出预算合计</w:t>
      </w:r>
      <w:r>
        <w:rPr>
          <w:rFonts w:hint="eastAsia" w:ascii="仿宋_GB2312" w:hAnsi="仿宋" w:eastAsia="仿宋_GB2312"/>
          <w:sz w:val="30"/>
          <w:szCs w:val="30"/>
          <w:lang w:val="en-US" w:eastAsia="zh-CN"/>
        </w:rPr>
        <w:t>5183.66</w:t>
      </w:r>
      <w:r>
        <w:rPr>
          <w:rFonts w:hint="eastAsia" w:ascii="仿宋" w:hAnsi="仿宋" w:eastAsia="仿宋" w:cs="仿宋"/>
          <w:sz w:val="32"/>
          <w:szCs w:val="32"/>
        </w:rPr>
        <w:t>万元，其中：</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基本支出</w:t>
      </w:r>
      <w:r>
        <w:rPr>
          <w:rFonts w:hint="eastAsia" w:ascii="仿宋" w:hAnsi="仿宋" w:eastAsia="仿宋" w:cs="仿宋"/>
          <w:sz w:val="32"/>
          <w:szCs w:val="32"/>
          <w:lang w:val="en-US" w:eastAsia="zh-CN"/>
        </w:rPr>
        <w:t>957.91</w:t>
      </w:r>
      <w:r>
        <w:rPr>
          <w:rFonts w:hint="eastAsia" w:ascii="仿宋" w:hAnsi="仿宋" w:eastAsia="仿宋" w:cs="仿宋"/>
          <w:sz w:val="32"/>
          <w:szCs w:val="32"/>
        </w:rPr>
        <w:t>万元，占</w:t>
      </w:r>
      <w:r>
        <w:rPr>
          <w:rFonts w:hint="eastAsia" w:ascii="仿宋" w:hAnsi="仿宋" w:eastAsia="仿宋" w:cs="仿宋"/>
          <w:sz w:val="32"/>
          <w:szCs w:val="32"/>
          <w:lang w:val="en-US" w:eastAsia="zh-CN"/>
        </w:rPr>
        <w:t>18.48</w:t>
      </w:r>
      <w:r>
        <w:rPr>
          <w:rFonts w:hint="eastAsia" w:ascii="仿宋" w:hAnsi="仿宋" w:eastAsia="仿宋" w:cs="仿宋"/>
          <w:sz w:val="32"/>
          <w:szCs w:val="32"/>
        </w:rPr>
        <w:t>%；</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项目支出</w:t>
      </w:r>
      <w:r>
        <w:rPr>
          <w:rFonts w:hint="eastAsia" w:ascii="仿宋" w:hAnsi="仿宋" w:eastAsia="仿宋" w:cs="仿宋"/>
          <w:sz w:val="32"/>
          <w:szCs w:val="32"/>
          <w:lang w:val="en-US" w:eastAsia="zh-CN"/>
        </w:rPr>
        <w:t>1185.77</w:t>
      </w:r>
      <w:r>
        <w:rPr>
          <w:rFonts w:hint="eastAsia" w:ascii="仿宋" w:hAnsi="仿宋" w:eastAsia="仿宋" w:cs="仿宋"/>
          <w:sz w:val="32"/>
          <w:szCs w:val="32"/>
        </w:rPr>
        <w:t>万元，占</w:t>
      </w:r>
      <w:r>
        <w:rPr>
          <w:rFonts w:hint="eastAsia" w:ascii="仿宋" w:hAnsi="仿宋" w:eastAsia="仿宋" w:cs="仿宋"/>
          <w:sz w:val="32"/>
          <w:szCs w:val="32"/>
          <w:lang w:val="en-US" w:eastAsia="zh-CN"/>
        </w:rPr>
        <w:t>22.88</w:t>
      </w:r>
      <w:r>
        <w:rPr>
          <w:rFonts w:hint="eastAsia" w:ascii="仿宋" w:hAnsi="仿宋" w:eastAsia="仿宋" w:cs="仿宋"/>
          <w:sz w:val="32"/>
          <w:szCs w:val="32"/>
        </w:rPr>
        <w:t>%；</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事业单位经营支出</w:t>
      </w:r>
      <w:r>
        <w:rPr>
          <w:rFonts w:hint="eastAsia" w:ascii="仿宋" w:hAnsi="仿宋" w:eastAsia="仿宋" w:cs="仿宋"/>
          <w:sz w:val="32"/>
          <w:szCs w:val="32"/>
          <w:lang w:val="en-US" w:eastAsia="zh-CN"/>
        </w:rPr>
        <w:t>3039.98</w:t>
      </w:r>
      <w:r>
        <w:rPr>
          <w:rFonts w:hint="eastAsia" w:ascii="仿宋" w:hAnsi="仿宋" w:eastAsia="仿宋" w:cs="仿宋"/>
          <w:sz w:val="32"/>
          <w:szCs w:val="32"/>
        </w:rPr>
        <w:t>万元，占</w:t>
      </w:r>
      <w:r>
        <w:rPr>
          <w:rFonts w:hint="eastAsia" w:ascii="仿宋" w:hAnsi="仿宋" w:eastAsia="仿宋" w:cs="仿宋"/>
          <w:sz w:val="32"/>
          <w:szCs w:val="32"/>
          <w:lang w:val="en-US" w:eastAsia="zh-CN"/>
        </w:rPr>
        <w:t>58.64</w:t>
      </w:r>
      <w:r>
        <w:rPr>
          <w:rFonts w:hint="eastAsia" w:ascii="仿宋" w:hAnsi="仿宋" w:eastAsia="仿宋" w:cs="仿宋"/>
          <w:sz w:val="32"/>
          <w:szCs w:val="32"/>
        </w:rPr>
        <w:t>%；</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上缴上级支出</w:t>
      </w:r>
      <w:r>
        <w:rPr>
          <w:rFonts w:hint="eastAsia" w:ascii="仿宋" w:hAnsi="仿宋" w:eastAsia="仿宋" w:cs="仿宋"/>
          <w:sz w:val="32"/>
          <w:szCs w:val="32"/>
        </w:rPr>
        <w:tab/>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Lines w:val="0"/>
        <w:pageBreakBefore w:val="0"/>
        <w:widowControl w:val="0"/>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四、财政拨款收支预算总体情况说明</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实践杂志社2023</w:t>
      </w:r>
      <w:r>
        <w:rPr>
          <w:rFonts w:hint="eastAsia" w:ascii="仿宋" w:hAnsi="仿宋" w:eastAsia="仿宋" w:cs="仿宋"/>
          <w:sz w:val="32"/>
          <w:szCs w:val="32"/>
          <w:highlight w:val="none"/>
        </w:rPr>
        <w:t>年度财政拨款收</w:t>
      </w:r>
      <w:r>
        <w:rPr>
          <w:rFonts w:hint="eastAsia" w:ascii="仿宋" w:hAnsi="仿宋" w:eastAsia="仿宋" w:cs="仿宋"/>
          <w:sz w:val="32"/>
          <w:szCs w:val="32"/>
          <w:highlight w:val="none"/>
          <w:lang w:val="en-US" w:eastAsia="zh-CN"/>
        </w:rPr>
        <w:t>入总计2143.68万元,</w:t>
      </w:r>
      <w:r>
        <w:rPr>
          <w:rFonts w:hint="eastAsia" w:ascii="仿宋" w:hAnsi="仿宋" w:eastAsia="仿宋" w:cs="仿宋"/>
          <w:sz w:val="32"/>
          <w:szCs w:val="32"/>
          <w:highlight w:val="none"/>
        </w:rPr>
        <w:t>与上年相比，财政拨款收</w:t>
      </w:r>
      <w:r>
        <w:rPr>
          <w:rFonts w:hint="eastAsia" w:ascii="仿宋" w:hAnsi="仿宋" w:eastAsia="仿宋" w:cs="仿宋"/>
          <w:sz w:val="32"/>
          <w:szCs w:val="32"/>
          <w:highlight w:val="none"/>
          <w:lang w:val="en-US" w:eastAsia="zh-CN"/>
        </w:rPr>
        <w:t>入总计</w:t>
      </w:r>
      <w:r>
        <w:rPr>
          <w:rFonts w:hint="eastAsia" w:ascii="仿宋" w:hAnsi="仿宋" w:eastAsia="仿宋" w:cs="仿宋"/>
          <w:sz w:val="32"/>
          <w:szCs w:val="32"/>
          <w:highlight w:val="none"/>
        </w:rPr>
        <w:t>增加</w:t>
      </w:r>
      <w:r>
        <w:rPr>
          <w:rFonts w:hint="eastAsia" w:ascii="仿宋_GB2312" w:eastAsia="仿宋_GB2312"/>
          <w:sz w:val="32"/>
          <w:szCs w:val="32"/>
          <w:lang w:val="en-US" w:eastAsia="zh-CN"/>
        </w:rPr>
        <w:t>429.53</w:t>
      </w:r>
      <w:r>
        <w:rPr>
          <w:rFonts w:hint="eastAsia" w:ascii="仿宋" w:hAnsi="仿宋" w:eastAsia="仿宋" w:cs="仿宋"/>
          <w:sz w:val="32"/>
          <w:szCs w:val="32"/>
          <w:highlight w:val="none"/>
        </w:rPr>
        <w:t>万元，增长</w:t>
      </w:r>
      <w:r>
        <w:rPr>
          <w:rFonts w:hint="eastAsia" w:ascii="仿宋_GB2312" w:eastAsia="仿宋_GB2312"/>
          <w:sz w:val="32"/>
          <w:szCs w:val="32"/>
          <w:lang w:val="en-US" w:eastAsia="zh-CN"/>
        </w:rPr>
        <w:t>25.06</w:t>
      </w:r>
      <w:r>
        <w:rPr>
          <w:rFonts w:hint="eastAsia" w:ascii="仿宋" w:hAnsi="仿宋" w:eastAsia="仿宋" w:cs="仿宋"/>
          <w:sz w:val="32"/>
          <w:szCs w:val="32"/>
          <w:highlight w:val="none"/>
        </w:rPr>
        <w:t>%。主要原因是</w:t>
      </w:r>
      <w:r>
        <w:rPr>
          <w:rFonts w:hint="eastAsia" w:ascii="仿宋" w:hAnsi="仿宋" w:eastAsia="仿宋" w:cs="仿宋"/>
          <w:sz w:val="32"/>
          <w:szCs w:val="32"/>
        </w:rPr>
        <w:t>在职人员工资性拨款有所增长、增加融媒体信息化改造项目94.1万元、增加“草原英才”项目10万元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2022年疫情原因导致财政拨款结转147.37万元</w:t>
      </w:r>
      <w:r>
        <w:rPr>
          <w:rFonts w:hint="eastAsia" w:ascii="仿宋" w:hAnsi="仿宋" w:eastAsia="仿宋" w:cs="仿宋"/>
          <w:sz w:val="32"/>
          <w:szCs w:val="32"/>
          <w:highlight w:val="none"/>
        </w:rPr>
        <w:t>。财政拨款支</w:t>
      </w:r>
      <w:r>
        <w:rPr>
          <w:rFonts w:hint="eastAsia" w:ascii="仿宋" w:hAnsi="仿宋" w:eastAsia="仿宋" w:cs="仿宋"/>
          <w:sz w:val="32"/>
          <w:szCs w:val="32"/>
          <w:highlight w:val="none"/>
          <w:lang w:val="en-US" w:eastAsia="zh-CN"/>
        </w:rPr>
        <w:t>出</w:t>
      </w:r>
      <w:r>
        <w:rPr>
          <w:rFonts w:hint="eastAsia" w:ascii="仿宋" w:hAnsi="仿宋" w:eastAsia="仿宋" w:cs="仿宋"/>
          <w:sz w:val="32"/>
          <w:szCs w:val="32"/>
          <w:highlight w:val="none"/>
        </w:rPr>
        <w:t>总预算</w:t>
      </w:r>
      <w:r>
        <w:rPr>
          <w:rFonts w:hint="eastAsia" w:ascii="仿宋" w:hAnsi="仿宋" w:eastAsia="仿宋" w:cs="仿宋"/>
          <w:sz w:val="32"/>
          <w:szCs w:val="32"/>
          <w:highlight w:val="none"/>
          <w:lang w:val="en-US" w:eastAsia="zh-CN"/>
        </w:rPr>
        <w:t>2143.68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财政拨款支</w:t>
      </w:r>
      <w:r>
        <w:rPr>
          <w:rFonts w:hint="eastAsia" w:ascii="仿宋" w:hAnsi="仿宋" w:eastAsia="仿宋" w:cs="仿宋"/>
          <w:sz w:val="32"/>
          <w:szCs w:val="32"/>
          <w:highlight w:val="none"/>
          <w:lang w:val="en-US" w:eastAsia="zh-CN"/>
        </w:rPr>
        <w:t>出</w:t>
      </w:r>
      <w:r>
        <w:rPr>
          <w:rFonts w:hint="eastAsia" w:ascii="仿宋" w:hAnsi="仿宋" w:eastAsia="仿宋" w:cs="仿宋"/>
          <w:sz w:val="32"/>
          <w:szCs w:val="32"/>
          <w:highlight w:val="none"/>
        </w:rPr>
        <w:t>总计增加</w:t>
      </w:r>
      <w:r>
        <w:rPr>
          <w:rFonts w:hint="eastAsia" w:ascii="仿宋_GB2312" w:eastAsia="仿宋_GB2312"/>
          <w:sz w:val="32"/>
          <w:szCs w:val="32"/>
          <w:lang w:val="en-US" w:eastAsia="zh-CN"/>
        </w:rPr>
        <w:t>429.53</w:t>
      </w:r>
      <w:r>
        <w:rPr>
          <w:rFonts w:hint="eastAsia" w:ascii="仿宋" w:hAnsi="仿宋" w:eastAsia="仿宋" w:cs="仿宋"/>
          <w:sz w:val="32"/>
          <w:szCs w:val="32"/>
          <w:highlight w:val="none"/>
        </w:rPr>
        <w:t>万元，增长</w:t>
      </w:r>
      <w:r>
        <w:rPr>
          <w:rFonts w:hint="eastAsia" w:ascii="仿宋_GB2312" w:eastAsia="仿宋_GB2312"/>
          <w:sz w:val="32"/>
          <w:szCs w:val="32"/>
          <w:lang w:val="en-US" w:eastAsia="zh-CN"/>
        </w:rPr>
        <w:t>25.06</w:t>
      </w:r>
      <w:r>
        <w:rPr>
          <w:rFonts w:hint="eastAsia" w:ascii="仿宋" w:hAnsi="仿宋" w:eastAsia="仿宋" w:cs="仿宋"/>
          <w:sz w:val="32"/>
          <w:szCs w:val="32"/>
          <w:highlight w:val="none"/>
        </w:rPr>
        <w:t>%。主要原因是</w:t>
      </w:r>
      <w:r>
        <w:rPr>
          <w:rFonts w:hint="eastAsia" w:ascii="仿宋" w:hAnsi="仿宋" w:eastAsia="仿宋" w:cs="仿宋"/>
          <w:sz w:val="32"/>
          <w:szCs w:val="32"/>
        </w:rPr>
        <w:t>在职人员工资性拨款有所增长、增加融媒体信息化改造项目94.1万元、增加“草原英才”项目10万元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2022年疫情原因导致财政拨款结转147.37万元</w:t>
      </w:r>
      <w:r>
        <w:rPr>
          <w:rFonts w:hint="eastAsia" w:ascii="仿宋" w:hAnsi="仿宋" w:eastAsia="仿宋" w:cs="仿宋"/>
          <w:sz w:val="32"/>
          <w:szCs w:val="32"/>
          <w:highlight w:val="none"/>
        </w:rPr>
        <w:t>。</w:t>
      </w:r>
    </w:p>
    <w:p>
      <w:pPr>
        <w:keepLines w:val="0"/>
        <w:pageBreakBefore w:val="0"/>
        <w:widowControl w:val="0"/>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五、一般公共预算支出预算情况说明</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实践杂志社2023</w:t>
      </w:r>
      <w:r>
        <w:rPr>
          <w:rFonts w:hint="eastAsia" w:ascii="仿宋" w:hAnsi="仿宋" w:eastAsia="仿宋" w:cs="仿宋"/>
          <w:sz w:val="32"/>
          <w:szCs w:val="32"/>
        </w:rPr>
        <w:t>年一般公共预算财政拨款支出预算</w:t>
      </w:r>
      <w:r>
        <w:rPr>
          <w:rFonts w:hint="eastAsia" w:ascii="仿宋" w:hAnsi="仿宋" w:eastAsia="仿宋" w:cs="仿宋"/>
          <w:sz w:val="32"/>
          <w:szCs w:val="32"/>
          <w:u w:val="single"/>
        </w:rPr>
        <w:t xml:space="preserve">     </w:t>
      </w:r>
      <w:r>
        <w:rPr>
          <w:rFonts w:hint="eastAsia" w:ascii="仿宋_GB2312" w:eastAsia="仿宋_GB2312"/>
          <w:bCs/>
          <w:sz w:val="30"/>
          <w:szCs w:val="30"/>
          <w:lang w:val="en-US" w:eastAsia="zh-CN"/>
        </w:rPr>
        <w:t>1996.31</w:t>
      </w:r>
      <w:r>
        <w:rPr>
          <w:rFonts w:hint="eastAsia" w:ascii="仿宋" w:hAnsi="仿宋" w:eastAsia="仿宋" w:cs="仿宋"/>
          <w:sz w:val="32"/>
          <w:szCs w:val="32"/>
        </w:rPr>
        <w:t>万元，与上年相比增加</w:t>
      </w:r>
      <w:r>
        <w:rPr>
          <w:rFonts w:hint="eastAsia" w:ascii="仿宋_GB2312" w:eastAsia="仿宋_GB2312"/>
          <w:sz w:val="32"/>
          <w:szCs w:val="32"/>
          <w:lang w:val="en-US" w:eastAsia="zh-CN"/>
        </w:rPr>
        <w:t>282.16</w:t>
      </w:r>
      <w:r>
        <w:rPr>
          <w:rFonts w:hint="eastAsia" w:ascii="仿宋" w:hAnsi="仿宋" w:eastAsia="仿宋" w:cs="仿宋"/>
          <w:sz w:val="32"/>
          <w:szCs w:val="32"/>
        </w:rPr>
        <w:t>万元，增长</w:t>
      </w:r>
      <w:r>
        <w:rPr>
          <w:rFonts w:hint="eastAsia" w:ascii="仿宋_GB2312" w:eastAsia="仿宋_GB2312"/>
          <w:sz w:val="32"/>
          <w:szCs w:val="32"/>
          <w:lang w:val="en-US" w:eastAsia="zh-CN"/>
        </w:rPr>
        <w:t>16.46</w:t>
      </w:r>
      <w:r>
        <w:rPr>
          <w:rFonts w:hint="eastAsia" w:ascii="仿宋" w:hAnsi="仿宋" w:eastAsia="仿宋" w:cs="仿宋"/>
          <w:sz w:val="32"/>
          <w:szCs w:val="32"/>
        </w:rPr>
        <w:t>%。主要原因是在职人员工资性拨款有所增长、增加融媒体信息化改造项目94.1万元、增加“草原英才”项目10万元。</w:t>
      </w:r>
    </w:p>
    <w:p>
      <w:pPr>
        <w:pStyle w:val="6"/>
        <w:keepLines w:val="0"/>
        <w:pageBreakBefore w:val="0"/>
        <w:widowControl w:val="0"/>
        <w:tabs>
          <w:tab w:val="left" w:pos="4275"/>
        </w:tabs>
        <w:kinsoku/>
        <w:wordWrap/>
        <w:overflowPunct/>
        <w:topLinePunct w:val="0"/>
        <w:autoSpaceDE/>
        <w:autoSpaceDN/>
        <w:bidi w:val="0"/>
        <w:spacing w:after="0" w:line="500" w:lineRule="exact"/>
        <w:ind w:firstLine="643" w:firstLineChars="200"/>
        <w:textAlignment w:val="auto"/>
        <w:rPr>
          <w:rFonts w:ascii="楷体" w:hAnsi="楷体" w:eastAsia="楷体" w:cs="楷体"/>
          <w:b/>
          <w:bCs w:val="0"/>
          <w:sz w:val="32"/>
          <w:szCs w:val="32"/>
        </w:rPr>
      </w:pPr>
      <w:r>
        <w:rPr>
          <w:rFonts w:hint="eastAsia" w:ascii="楷体" w:hAnsi="楷体" w:eastAsia="楷体" w:cs="楷体"/>
          <w:b/>
          <w:bCs w:val="0"/>
          <w:sz w:val="32"/>
          <w:szCs w:val="32"/>
        </w:rPr>
        <w:t>（一）科学技术支出（类）</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社会科学（款）其他社会科学支出（项）。年初预算</w:t>
      </w:r>
      <w:r>
        <w:rPr>
          <w:rFonts w:hint="eastAsia" w:ascii="仿宋" w:hAnsi="仿宋" w:eastAsia="仿宋" w:cs="仿宋"/>
          <w:sz w:val="32"/>
          <w:szCs w:val="32"/>
          <w:lang w:val="en-US" w:eastAsia="zh-CN"/>
        </w:rPr>
        <w:t>10</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10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rPr>
        <w:t>%。变动原因：</w:t>
      </w:r>
      <w:r>
        <w:rPr>
          <w:rFonts w:hint="eastAsia" w:ascii="仿宋_GB2312" w:eastAsia="仿宋_GB2312"/>
          <w:sz w:val="32"/>
          <w:szCs w:val="32"/>
          <w:lang w:val="en-US" w:eastAsia="zh-CN"/>
        </w:rPr>
        <w:t>上年没有“草原英才”项目，本年新增</w:t>
      </w:r>
      <w:r>
        <w:rPr>
          <w:rFonts w:hint="eastAsia" w:ascii="仿宋" w:hAnsi="仿宋" w:eastAsia="仿宋" w:cs="仿宋"/>
          <w:sz w:val="32"/>
          <w:szCs w:val="32"/>
        </w:rPr>
        <w:t>。</w:t>
      </w:r>
    </w:p>
    <w:p>
      <w:pPr>
        <w:pStyle w:val="6"/>
        <w:keepLines w:val="0"/>
        <w:pageBreakBefore w:val="0"/>
        <w:widowControl w:val="0"/>
        <w:tabs>
          <w:tab w:val="left" w:pos="4275"/>
        </w:tabs>
        <w:kinsoku/>
        <w:wordWrap/>
        <w:overflowPunct/>
        <w:topLinePunct w:val="0"/>
        <w:autoSpaceDE/>
        <w:autoSpaceDN/>
        <w:bidi w:val="0"/>
        <w:spacing w:after="0" w:line="500" w:lineRule="exact"/>
        <w:ind w:firstLine="643" w:firstLineChars="200"/>
        <w:textAlignment w:val="auto"/>
        <w:rPr>
          <w:rFonts w:ascii="楷体" w:hAnsi="楷体" w:eastAsia="楷体" w:cs="楷体"/>
          <w:b/>
          <w:bCs w:val="0"/>
          <w:sz w:val="32"/>
          <w:szCs w:val="32"/>
        </w:rPr>
      </w:pPr>
      <w:r>
        <w:rPr>
          <w:rFonts w:hint="eastAsia" w:ascii="楷体" w:hAnsi="楷体" w:eastAsia="楷体" w:cs="楷体"/>
          <w:b/>
          <w:bCs w:val="0"/>
          <w:sz w:val="32"/>
          <w:szCs w:val="32"/>
        </w:rPr>
        <w:t>（二）文化旅游体育与传媒支出（类）</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其他文化旅游体育与传媒支出（款）其他文化旅游体育与传媒支出（项）。年初预算</w:t>
      </w:r>
      <w:r>
        <w:rPr>
          <w:rFonts w:hint="eastAsia" w:ascii="仿宋" w:hAnsi="仿宋" w:eastAsia="仿宋" w:cs="仿宋"/>
          <w:sz w:val="32"/>
          <w:szCs w:val="32"/>
          <w:lang w:val="en-US" w:eastAsia="zh-CN"/>
        </w:rPr>
        <w:t>1665.76</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251.09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17.75</w:t>
      </w:r>
      <w:r>
        <w:rPr>
          <w:rFonts w:hint="eastAsia" w:ascii="仿宋" w:hAnsi="仿宋" w:eastAsia="仿宋" w:cs="仿宋"/>
          <w:sz w:val="32"/>
          <w:szCs w:val="32"/>
        </w:rPr>
        <w:t>%。变动原因：在职人员工资性拨款有所增长、增加融媒体信息化改造项目94.1万元。</w:t>
      </w:r>
    </w:p>
    <w:p>
      <w:pPr>
        <w:pStyle w:val="6"/>
        <w:keepLines w:val="0"/>
        <w:pageBreakBefore w:val="0"/>
        <w:widowControl w:val="0"/>
        <w:tabs>
          <w:tab w:val="left" w:pos="4275"/>
        </w:tabs>
        <w:kinsoku/>
        <w:wordWrap/>
        <w:overflowPunct/>
        <w:topLinePunct w:val="0"/>
        <w:autoSpaceDE/>
        <w:autoSpaceDN/>
        <w:bidi w:val="0"/>
        <w:spacing w:after="0" w:line="500" w:lineRule="exact"/>
        <w:ind w:firstLine="643" w:firstLineChars="200"/>
        <w:textAlignment w:val="auto"/>
        <w:rPr>
          <w:rFonts w:ascii="楷体" w:hAnsi="楷体" w:eastAsia="楷体" w:cs="楷体"/>
          <w:b/>
          <w:bCs w:val="0"/>
          <w:sz w:val="32"/>
          <w:szCs w:val="32"/>
        </w:rPr>
      </w:pPr>
      <w:r>
        <w:rPr>
          <w:rFonts w:hint="eastAsia" w:ascii="楷体" w:hAnsi="楷体" w:eastAsia="楷体" w:cs="楷体"/>
          <w:b/>
          <w:bCs w:val="0"/>
          <w:sz w:val="32"/>
          <w:szCs w:val="32"/>
        </w:rPr>
        <w:t>（</w:t>
      </w:r>
      <w:r>
        <w:rPr>
          <w:rFonts w:hint="eastAsia" w:ascii="楷体" w:hAnsi="楷体" w:eastAsia="楷体" w:cs="楷体"/>
          <w:b/>
          <w:bCs w:val="0"/>
          <w:sz w:val="32"/>
          <w:szCs w:val="32"/>
          <w:lang w:val="en-US" w:eastAsia="zh-CN"/>
        </w:rPr>
        <w:t>三</w:t>
      </w:r>
      <w:r>
        <w:rPr>
          <w:rFonts w:hint="eastAsia" w:ascii="楷体" w:hAnsi="楷体" w:eastAsia="楷体" w:cs="楷体"/>
          <w:b/>
          <w:bCs w:val="0"/>
          <w:sz w:val="32"/>
          <w:szCs w:val="32"/>
        </w:rPr>
        <w:t>）社会保障和就业支出（类）</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1.行政事业单位养老支出（款）事业单位离退休（项）。年初预算</w:t>
      </w:r>
      <w:r>
        <w:rPr>
          <w:rFonts w:hint="eastAsia" w:ascii="仿宋" w:hAnsi="仿宋" w:eastAsia="仿宋" w:cs="仿宋"/>
          <w:sz w:val="32"/>
          <w:szCs w:val="32"/>
          <w:lang w:val="en-US" w:eastAsia="zh-CN"/>
        </w:rPr>
        <w:t>148.22</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68.74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86.49</w:t>
      </w:r>
      <w:r>
        <w:rPr>
          <w:rFonts w:hint="eastAsia" w:ascii="仿宋" w:hAnsi="仿宋" w:eastAsia="仿宋" w:cs="仿宋"/>
          <w:sz w:val="32"/>
          <w:szCs w:val="32"/>
        </w:rPr>
        <w:t>%。变动原因：</w:t>
      </w:r>
      <w:r>
        <w:rPr>
          <w:rFonts w:hint="eastAsia" w:ascii="仿宋" w:hAnsi="仿宋" w:eastAsia="仿宋" w:cs="仿宋"/>
          <w:sz w:val="32"/>
          <w:szCs w:val="32"/>
          <w:lang w:val="en-US" w:eastAsia="zh-CN"/>
        </w:rPr>
        <w:t>本年增加退休人员绩效奖金补助经费预算。</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行政事业单位养老支出（款）机关事业单位基本养老保险缴费支出（项）。年初预算</w:t>
      </w:r>
      <w:r>
        <w:rPr>
          <w:rFonts w:hint="eastAsia" w:ascii="仿宋" w:hAnsi="仿宋" w:eastAsia="仿宋" w:cs="仿宋"/>
          <w:sz w:val="32"/>
          <w:szCs w:val="32"/>
          <w:lang w:val="en-US" w:eastAsia="zh-CN"/>
        </w:rPr>
        <w:t>107.5</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27.5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34.38</w:t>
      </w:r>
      <w:r>
        <w:rPr>
          <w:rFonts w:hint="eastAsia" w:ascii="仿宋" w:hAnsi="仿宋" w:eastAsia="仿宋" w:cs="仿宋"/>
          <w:sz w:val="32"/>
          <w:szCs w:val="32"/>
        </w:rPr>
        <w:t>%。变动原因：</w:t>
      </w:r>
      <w:r>
        <w:rPr>
          <w:rFonts w:hint="eastAsia" w:ascii="仿宋" w:hAnsi="仿宋" w:eastAsia="仿宋" w:cs="仿宋"/>
          <w:sz w:val="32"/>
          <w:szCs w:val="32"/>
          <w:lang w:val="en-US" w:eastAsia="zh-CN"/>
        </w:rPr>
        <w:t>本年对单位在职人员财政拨款补助资金增加，故调增由财政拨款负担部分的金额预算。</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行政事业单位养老支出（款）机关事业单位职业年金缴费支出（项）。年初预算</w:t>
      </w:r>
      <w:r>
        <w:rPr>
          <w:rFonts w:hint="eastAsia" w:ascii="仿宋" w:hAnsi="仿宋" w:eastAsia="仿宋" w:cs="仿宋"/>
          <w:sz w:val="32"/>
          <w:szCs w:val="32"/>
          <w:lang w:val="en-US" w:eastAsia="zh-CN"/>
        </w:rPr>
        <w:t>55.2</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15.2</w:t>
      </w:r>
      <w:r>
        <w:rPr>
          <w:rFonts w:hint="eastAsia" w:ascii="仿宋" w:hAnsi="仿宋" w:eastAsia="仿宋" w:cs="仿宋"/>
          <w:sz w:val="32"/>
          <w:szCs w:val="32"/>
        </w:rPr>
        <w:t>万元，增长</w:t>
      </w:r>
      <w:r>
        <w:rPr>
          <w:rFonts w:hint="eastAsia" w:ascii="仿宋" w:hAnsi="仿宋" w:eastAsia="仿宋" w:cs="仿宋"/>
          <w:sz w:val="32"/>
          <w:szCs w:val="32"/>
          <w:lang w:val="en-US" w:eastAsia="zh-CN"/>
        </w:rPr>
        <w:t>38</w:t>
      </w:r>
      <w:r>
        <w:rPr>
          <w:rFonts w:hint="eastAsia" w:ascii="仿宋" w:hAnsi="仿宋" w:eastAsia="仿宋" w:cs="仿宋"/>
          <w:sz w:val="32"/>
          <w:szCs w:val="32"/>
        </w:rPr>
        <w:t>%。变动原因：</w:t>
      </w:r>
      <w:r>
        <w:rPr>
          <w:rFonts w:hint="eastAsia" w:ascii="仿宋" w:hAnsi="仿宋" w:eastAsia="仿宋" w:cs="仿宋"/>
          <w:sz w:val="32"/>
          <w:szCs w:val="32"/>
          <w:lang w:val="en-US" w:eastAsia="zh-CN"/>
        </w:rPr>
        <w:t>本年对单位在职人员财政拨款补助资金增加，故调增由财政拨款负担部分的金额预算。</w:t>
      </w:r>
    </w:p>
    <w:p>
      <w:pPr>
        <w:pStyle w:val="6"/>
        <w:keepLines w:val="0"/>
        <w:pageBreakBefore w:val="0"/>
        <w:widowControl w:val="0"/>
        <w:tabs>
          <w:tab w:val="left" w:pos="4275"/>
        </w:tabs>
        <w:kinsoku/>
        <w:wordWrap/>
        <w:overflowPunct/>
        <w:topLinePunct w:val="0"/>
        <w:autoSpaceDE/>
        <w:autoSpaceDN/>
        <w:bidi w:val="0"/>
        <w:spacing w:after="0" w:line="500" w:lineRule="exact"/>
        <w:ind w:firstLine="643" w:firstLineChars="200"/>
        <w:textAlignment w:val="auto"/>
        <w:rPr>
          <w:rFonts w:ascii="楷体" w:hAnsi="楷体" w:eastAsia="楷体" w:cs="楷体"/>
          <w:b/>
          <w:bCs w:val="0"/>
          <w:sz w:val="32"/>
          <w:szCs w:val="32"/>
        </w:rPr>
      </w:pPr>
      <w:r>
        <w:rPr>
          <w:rFonts w:hint="eastAsia" w:ascii="楷体" w:hAnsi="楷体" w:eastAsia="楷体" w:cs="楷体"/>
          <w:b/>
          <w:bCs w:val="0"/>
          <w:sz w:val="32"/>
          <w:szCs w:val="32"/>
        </w:rPr>
        <w:t>（</w:t>
      </w:r>
      <w:r>
        <w:rPr>
          <w:rFonts w:hint="eastAsia" w:ascii="楷体" w:hAnsi="楷体" w:eastAsia="楷体" w:cs="楷体"/>
          <w:b/>
          <w:bCs w:val="0"/>
          <w:sz w:val="32"/>
          <w:szCs w:val="32"/>
          <w:lang w:val="en-US" w:eastAsia="zh-CN"/>
        </w:rPr>
        <w:t>四</w:t>
      </w:r>
      <w:r>
        <w:rPr>
          <w:rFonts w:hint="eastAsia" w:ascii="楷体" w:hAnsi="楷体" w:eastAsia="楷体" w:cs="楷体"/>
          <w:b/>
          <w:bCs w:val="0"/>
          <w:sz w:val="32"/>
          <w:szCs w:val="32"/>
        </w:rPr>
        <w:t>）卫生健康支出（类）</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1.行政事业单位医疗（款）事业单位医疗（项）。年初预算</w:t>
      </w:r>
      <w:r>
        <w:rPr>
          <w:rFonts w:hint="eastAsia" w:ascii="仿宋" w:hAnsi="仿宋" w:eastAsia="仿宋" w:cs="仿宋"/>
          <w:sz w:val="32"/>
          <w:szCs w:val="32"/>
          <w:lang w:val="en-US" w:eastAsia="zh-CN"/>
        </w:rPr>
        <w:t>60</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41</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215.79</w:t>
      </w:r>
      <w:r>
        <w:rPr>
          <w:rFonts w:hint="eastAsia" w:ascii="仿宋" w:hAnsi="仿宋" w:eastAsia="仿宋" w:cs="仿宋"/>
          <w:sz w:val="32"/>
          <w:szCs w:val="32"/>
        </w:rPr>
        <w:t>%。变动原因：</w:t>
      </w:r>
      <w:r>
        <w:rPr>
          <w:rFonts w:hint="eastAsia" w:ascii="仿宋" w:hAnsi="仿宋" w:eastAsia="仿宋" w:cs="仿宋"/>
          <w:sz w:val="32"/>
          <w:szCs w:val="32"/>
          <w:lang w:val="en-US" w:eastAsia="zh-CN"/>
        </w:rPr>
        <w:t>本年对单位在职人员财政拨款补助资金增加，故调增由财政拨款负担部分的金额预算。</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行政事业单位医疗（款）公务员医疗补助（项）。年初预算</w:t>
      </w:r>
      <w:r>
        <w:rPr>
          <w:rFonts w:hint="eastAsia" w:ascii="仿宋" w:hAnsi="仿宋" w:eastAsia="仿宋" w:cs="仿宋"/>
          <w:sz w:val="32"/>
          <w:szCs w:val="32"/>
          <w:lang w:val="en-US" w:eastAsia="zh-CN"/>
        </w:rPr>
        <w:t>20</w:t>
      </w:r>
      <w:r>
        <w:rPr>
          <w:rFonts w:hint="eastAsia" w:ascii="仿宋" w:hAnsi="仿宋" w:eastAsia="仿宋" w:cs="仿宋"/>
          <w:sz w:val="32"/>
          <w:szCs w:val="32"/>
        </w:rPr>
        <w:t>万元，与上年相比增加</w:t>
      </w:r>
      <w:r>
        <w:rPr>
          <w:rFonts w:hint="eastAsia" w:ascii="仿宋" w:hAnsi="仿宋" w:eastAsia="仿宋" w:cs="仿宋"/>
          <w:sz w:val="32"/>
          <w:szCs w:val="32"/>
          <w:lang w:val="en-US" w:eastAsia="zh-CN"/>
        </w:rPr>
        <w:t>20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100</w:t>
      </w:r>
      <w:r>
        <w:rPr>
          <w:rFonts w:hint="eastAsia" w:ascii="仿宋" w:hAnsi="仿宋" w:eastAsia="仿宋" w:cs="仿宋"/>
          <w:sz w:val="32"/>
          <w:szCs w:val="32"/>
        </w:rPr>
        <w:t>%。变动原因：</w:t>
      </w:r>
      <w:r>
        <w:rPr>
          <w:rFonts w:hint="eastAsia" w:ascii="仿宋" w:hAnsi="仿宋" w:eastAsia="仿宋" w:cs="仿宋"/>
          <w:sz w:val="32"/>
          <w:szCs w:val="32"/>
          <w:lang w:val="en-US" w:eastAsia="zh-CN"/>
        </w:rPr>
        <w:t>本年对单位在职人员财政拨款补助资金增加，故调增由财政拨款负担部分的金额预算。</w:t>
      </w:r>
    </w:p>
    <w:p>
      <w:pPr>
        <w:pStyle w:val="6"/>
        <w:keepLines w:val="0"/>
        <w:pageBreakBefore w:val="0"/>
        <w:widowControl w:val="0"/>
        <w:tabs>
          <w:tab w:val="left" w:pos="4275"/>
        </w:tabs>
        <w:kinsoku/>
        <w:wordWrap/>
        <w:overflowPunct/>
        <w:topLinePunct w:val="0"/>
        <w:autoSpaceDE/>
        <w:autoSpaceDN/>
        <w:bidi w:val="0"/>
        <w:spacing w:after="0" w:line="500" w:lineRule="exact"/>
        <w:ind w:firstLine="643" w:firstLineChars="200"/>
        <w:textAlignment w:val="auto"/>
        <w:rPr>
          <w:rFonts w:ascii="楷体" w:hAnsi="楷体" w:eastAsia="楷体" w:cs="楷体"/>
          <w:b/>
          <w:bCs w:val="0"/>
          <w:sz w:val="32"/>
          <w:szCs w:val="32"/>
        </w:rPr>
      </w:pPr>
      <w:r>
        <w:rPr>
          <w:rFonts w:hint="eastAsia" w:ascii="楷体" w:hAnsi="楷体" w:eastAsia="楷体" w:cs="楷体"/>
          <w:b/>
          <w:bCs w:val="0"/>
          <w:sz w:val="32"/>
          <w:szCs w:val="32"/>
        </w:rPr>
        <w:t>（</w:t>
      </w:r>
      <w:r>
        <w:rPr>
          <w:rFonts w:hint="eastAsia" w:ascii="楷体" w:hAnsi="楷体" w:eastAsia="楷体" w:cs="楷体"/>
          <w:b/>
          <w:bCs w:val="0"/>
          <w:sz w:val="32"/>
          <w:szCs w:val="32"/>
          <w:lang w:val="en-US" w:eastAsia="zh-CN"/>
        </w:rPr>
        <w:t>五</w:t>
      </w:r>
      <w:r>
        <w:rPr>
          <w:rFonts w:hint="eastAsia" w:ascii="楷体" w:hAnsi="楷体" w:eastAsia="楷体" w:cs="楷体"/>
          <w:b/>
          <w:bCs w:val="0"/>
          <w:sz w:val="32"/>
          <w:szCs w:val="32"/>
        </w:rPr>
        <w:t>）住房保障支出（类）</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住房改革支出（款）住房公积金（项）。年初预算</w:t>
      </w:r>
      <w:r>
        <w:rPr>
          <w:rFonts w:hint="eastAsia" w:ascii="仿宋" w:hAnsi="仿宋" w:eastAsia="仿宋" w:cs="仿宋"/>
          <w:sz w:val="32"/>
          <w:szCs w:val="32"/>
          <w:lang w:val="en-US" w:eastAsia="zh-CN"/>
        </w:rPr>
        <w:t>77</w:t>
      </w:r>
      <w:r>
        <w:rPr>
          <w:rFonts w:hint="eastAsia" w:ascii="仿宋" w:hAnsi="仿宋" w:eastAsia="仿宋" w:cs="仿宋"/>
          <w:sz w:val="32"/>
          <w:szCs w:val="32"/>
        </w:rPr>
        <w:t>万元，与上年相比</w:t>
      </w:r>
      <w:r>
        <w:rPr>
          <w:rFonts w:hint="eastAsia" w:ascii="仿宋" w:hAnsi="仿宋" w:eastAsia="仿宋" w:cs="仿宋"/>
          <w:sz w:val="32"/>
          <w:szCs w:val="32"/>
          <w:lang w:val="en-US" w:eastAsia="zh-CN"/>
        </w:rPr>
        <w:t>减少4</w:t>
      </w:r>
      <w:r>
        <w:rPr>
          <w:rFonts w:hint="eastAsia" w:ascii="仿宋" w:hAnsi="仿宋" w:eastAsia="仿宋" w:cs="仿宋"/>
          <w:sz w:val="32"/>
          <w:szCs w:val="32"/>
        </w:rPr>
        <w:t>万元，</w:t>
      </w:r>
      <w:r>
        <w:rPr>
          <w:rFonts w:hint="eastAsia" w:ascii="仿宋" w:hAnsi="仿宋" w:eastAsia="仿宋" w:cs="仿宋"/>
          <w:sz w:val="32"/>
          <w:szCs w:val="32"/>
          <w:lang w:val="en-US" w:eastAsia="zh-CN"/>
        </w:rPr>
        <w:t>减少4.94</w:t>
      </w:r>
      <w:r>
        <w:rPr>
          <w:rFonts w:hint="eastAsia" w:ascii="仿宋" w:hAnsi="仿宋" w:eastAsia="仿宋" w:cs="仿宋"/>
          <w:sz w:val="32"/>
          <w:szCs w:val="32"/>
        </w:rPr>
        <w:t>%。变动原因：</w:t>
      </w:r>
      <w:r>
        <w:rPr>
          <w:rFonts w:hint="eastAsia" w:ascii="仿宋" w:hAnsi="仿宋" w:eastAsia="仿宋" w:cs="仿宋"/>
          <w:sz w:val="32"/>
          <w:szCs w:val="32"/>
          <w:lang w:val="en-US" w:eastAsia="zh-CN"/>
        </w:rPr>
        <w:t>本年对单位在职人员财政拨款社会保障和就业支出和卫生健康支出补助资金增加，剩余财政拨款不足以支付全部</w:t>
      </w:r>
      <w:r>
        <w:rPr>
          <w:rFonts w:hint="eastAsia" w:ascii="仿宋" w:hAnsi="仿宋" w:eastAsia="仿宋" w:cs="仿宋"/>
          <w:sz w:val="32"/>
          <w:szCs w:val="32"/>
        </w:rPr>
        <w:t>住房公积金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不足部分用单位资金弥补。</w:t>
      </w:r>
    </w:p>
    <w:p>
      <w:pPr>
        <w:keepLines w:val="0"/>
        <w:pageBreakBefore w:val="0"/>
        <w:widowControl w:val="0"/>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六、一般公共预算基本支出预算情况说明</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实践杂志社2023</w:t>
      </w:r>
      <w:r>
        <w:rPr>
          <w:rFonts w:hint="eastAsia" w:ascii="仿宋" w:hAnsi="仿宋" w:eastAsia="仿宋" w:cs="仿宋"/>
          <w:sz w:val="32"/>
          <w:szCs w:val="32"/>
        </w:rPr>
        <w:t>年度一般公共预算财政拨款基本支出预算</w:t>
      </w:r>
      <w:r>
        <w:rPr>
          <w:rFonts w:hint="eastAsia" w:ascii="仿宋" w:hAnsi="仿宋" w:eastAsia="仿宋" w:cs="仿宋"/>
          <w:sz w:val="32"/>
          <w:szCs w:val="32"/>
          <w:lang w:val="en-US" w:eastAsia="zh-CN"/>
        </w:rPr>
        <w:t>957.91</w:t>
      </w:r>
      <w:r>
        <w:rPr>
          <w:rFonts w:hint="eastAsia" w:ascii="仿宋" w:hAnsi="仿宋" w:eastAsia="仿宋" w:cs="仿宋"/>
          <w:sz w:val="32"/>
          <w:szCs w:val="32"/>
        </w:rPr>
        <w:t>万元，</w:t>
      </w:r>
      <w:r>
        <w:rPr>
          <w:rFonts w:hint="eastAsia" w:ascii="仿宋" w:hAnsi="仿宋" w:eastAsia="仿宋" w:cs="仿宋"/>
          <w:sz w:val="32"/>
          <w:szCs w:val="32"/>
          <w:highlight w:val="none"/>
        </w:rPr>
        <w:t>与上年相比增加</w:t>
      </w:r>
      <w:r>
        <w:rPr>
          <w:rFonts w:hint="eastAsia" w:ascii="仿宋" w:hAnsi="仿宋" w:eastAsia="仿宋" w:cs="仿宋"/>
          <w:sz w:val="32"/>
          <w:szCs w:val="32"/>
          <w:highlight w:val="none"/>
          <w:lang w:val="en-US" w:eastAsia="zh-CN"/>
        </w:rPr>
        <w:t>870.76</w:t>
      </w:r>
      <w:r>
        <w:rPr>
          <w:rFonts w:hint="eastAsia" w:ascii="仿宋" w:hAnsi="仿宋" w:eastAsia="仿宋" w:cs="仿宋"/>
          <w:sz w:val="32"/>
          <w:szCs w:val="32"/>
          <w:highlight w:val="none"/>
        </w:rPr>
        <w:t>万元，增长</w:t>
      </w:r>
      <w:r>
        <w:rPr>
          <w:rFonts w:hint="eastAsia" w:ascii="仿宋" w:hAnsi="仿宋" w:eastAsia="仿宋" w:cs="仿宋"/>
          <w:sz w:val="32"/>
          <w:szCs w:val="32"/>
          <w:highlight w:val="none"/>
          <w:lang w:val="en-US" w:eastAsia="zh-CN"/>
        </w:rPr>
        <w:t>999.15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（一）人员经费</w:t>
      </w:r>
      <w:r>
        <w:rPr>
          <w:rFonts w:hint="eastAsia" w:ascii="仿宋" w:hAnsi="仿宋" w:eastAsia="仿宋" w:cs="仿宋"/>
          <w:bCs/>
          <w:sz w:val="32"/>
          <w:szCs w:val="32"/>
          <w:lang w:val="en-US" w:eastAsia="zh-CN"/>
        </w:rPr>
        <w:t>955.72</w:t>
      </w:r>
      <w:r>
        <w:rPr>
          <w:rFonts w:hint="eastAsia" w:ascii="仿宋" w:hAnsi="仿宋" w:eastAsia="仿宋" w:cs="仿宋"/>
          <w:bCs/>
          <w:sz w:val="32"/>
          <w:szCs w:val="32"/>
        </w:rPr>
        <w:t>万元</w:t>
      </w:r>
      <w:r>
        <w:rPr>
          <w:rFonts w:hint="eastAsia" w:ascii="仿宋" w:hAnsi="仿宋" w:eastAsia="仿宋" w:cs="仿宋"/>
          <w:sz w:val="32"/>
          <w:szCs w:val="32"/>
        </w:rPr>
        <w:t>。主要包括：基本工资、津贴补贴、奖金、绩效工资、机关事业单位基本养老保险缴费、职业年金缴费、退休费、生活补助等。</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（二）公用经费</w:t>
      </w:r>
      <w:r>
        <w:rPr>
          <w:rFonts w:hint="eastAsia" w:ascii="仿宋" w:hAnsi="仿宋" w:eastAsia="仿宋" w:cs="仿宋"/>
          <w:bCs/>
          <w:sz w:val="32"/>
          <w:szCs w:val="32"/>
          <w:lang w:val="en-US" w:eastAsia="zh-CN"/>
        </w:rPr>
        <w:t>2.19</w:t>
      </w:r>
      <w:r>
        <w:rPr>
          <w:rFonts w:hint="eastAsia" w:ascii="仿宋" w:hAnsi="仿宋" w:eastAsia="仿宋" w:cs="仿宋"/>
          <w:bCs/>
          <w:sz w:val="32"/>
          <w:szCs w:val="32"/>
        </w:rPr>
        <w:t>万元</w:t>
      </w:r>
      <w:r>
        <w:rPr>
          <w:rFonts w:hint="eastAsia" w:ascii="仿宋" w:hAnsi="仿宋" w:eastAsia="仿宋" w:cs="仿宋"/>
          <w:sz w:val="32"/>
          <w:szCs w:val="32"/>
        </w:rPr>
        <w:t>。主要包括：其他商品和服务支出。</w:t>
      </w:r>
    </w:p>
    <w:p>
      <w:pPr>
        <w:keepLines w:val="0"/>
        <w:pageBreakBefore w:val="0"/>
        <w:widowControl w:val="0"/>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七、一般公共预算“三公”经费支出预算情况说明</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实践杂志社2023</w:t>
      </w:r>
      <w:r>
        <w:rPr>
          <w:rFonts w:hint="eastAsia" w:ascii="仿宋" w:hAnsi="仿宋" w:eastAsia="仿宋" w:cs="仿宋"/>
          <w:sz w:val="32"/>
          <w:szCs w:val="32"/>
        </w:rPr>
        <w:t>年度一般公共预算拨款安排的“三公”经费预算支出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万元，其中因公出国（境）费支出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万元，占“三公”经费的</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%；公务用车购置及运行维护费支出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万元，占“三公”经费的</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万元，占“三公”经费的</w:t>
      </w:r>
      <w:r>
        <w:rPr>
          <w:rFonts w:hint="eastAsia" w:ascii="仿宋" w:hAnsi="仿宋" w:eastAsia="仿宋" w:cs="仿宋"/>
          <w:sz w:val="32"/>
          <w:szCs w:val="32"/>
          <w:lang w:val="en-US" w:eastAsia="zh-CN"/>
        </w:rPr>
        <w:t>0</w:t>
      </w:r>
      <w:r>
        <w:rPr>
          <w:rFonts w:hint="eastAsia" w:ascii="仿宋" w:hAnsi="仿宋" w:eastAsia="仿宋" w:cs="仿宋"/>
          <w:sz w:val="32"/>
          <w:szCs w:val="32"/>
        </w:rPr>
        <w:t>%。具体情况如下：</w:t>
      </w:r>
    </w:p>
    <w:p>
      <w:pPr>
        <w:keepLines w:val="0"/>
        <w:pageBreakBefore w:val="0"/>
        <w:widowControl w:val="0"/>
        <w:kinsoku/>
        <w:wordWrap/>
        <w:overflowPunct/>
        <w:topLinePunct w:val="0"/>
        <w:autoSpaceDE/>
        <w:autoSpaceDN/>
        <w:bidi w:val="0"/>
        <w:spacing w:before="104" w:line="500" w:lineRule="exact"/>
        <w:ind w:left="29" w:right="96" w:firstLine="650"/>
        <w:textAlignment w:val="auto"/>
        <w:rPr>
          <w:rFonts w:ascii="仿宋" w:hAnsi="仿宋" w:eastAsia="仿宋" w:cs="仿宋"/>
          <w:sz w:val="32"/>
          <w:szCs w:val="32"/>
        </w:rPr>
      </w:pPr>
      <w:r>
        <w:rPr>
          <w:rFonts w:hint="eastAsia" w:ascii="仿宋" w:hAnsi="仿宋" w:eastAsia="仿宋" w:cs="仿宋"/>
          <w:sz w:val="32"/>
          <w:szCs w:val="32"/>
        </w:rPr>
        <w:t>一般公共预算拨款安排的“三公”经费预算支出</w:t>
      </w:r>
      <w:r>
        <w:rPr>
          <w:rFonts w:hint="eastAsia" w:ascii="仿宋" w:hAnsi="仿宋" w:eastAsia="仿宋" w:cs="仿宋"/>
          <w:sz w:val="32"/>
          <w:szCs w:val="32"/>
          <w:lang w:val="en-US" w:eastAsia="zh-CN"/>
        </w:rPr>
        <w:t>0</w:t>
      </w:r>
      <w:r>
        <w:rPr>
          <w:rFonts w:ascii="仿宋" w:hAnsi="仿宋" w:eastAsia="仿宋" w:cs="仿宋"/>
          <w:spacing w:val="-4"/>
          <w:sz w:val="32"/>
          <w:szCs w:val="32"/>
        </w:rPr>
        <w:t>万元，比上年预</w:t>
      </w:r>
      <w:r>
        <w:rPr>
          <w:rFonts w:ascii="仿宋" w:hAnsi="仿宋" w:eastAsia="仿宋" w:cs="仿宋"/>
          <w:spacing w:val="-6"/>
          <w:sz w:val="32"/>
          <w:szCs w:val="32"/>
        </w:rPr>
        <w:t>算增加</w:t>
      </w:r>
      <w:r>
        <w:rPr>
          <w:rFonts w:hint="eastAsia" w:ascii="仿宋" w:hAnsi="仿宋" w:eastAsia="仿宋" w:cs="仿宋"/>
          <w:spacing w:val="-6"/>
          <w:sz w:val="32"/>
          <w:szCs w:val="32"/>
          <w:lang w:val="en-US" w:eastAsia="zh-CN"/>
        </w:rPr>
        <w:t>0</w:t>
      </w:r>
      <w:r>
        <w:rPr>
          <w:rFonts w:ascii="仿宋" w:hAnsi="仿宋" w:eastAsia="仿宋" w:cs="仿宋"/>
          <w:spacing w:val="-6"/>
          <w:sz w:val="32"/>
          <w:szCs w:val="32"/>
        </w:rPr>
        <w:t>万元，</w:t>
      </w:r>
      <w:r>
        <w:rPr>
          <w:rFonts w:hint="eastAsia" w:ascii="仿宋" w:hAnsi="仿宋" w:eastAsia="仿宋" w:cs="仿宋"/>
          <w:sz w:val="32"/>
          <w:szCs w:val="32"/>
        </w:rPr>
        <w:t>增长</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ascii="仿宋" w:hAnsi="仿宋" w:eastAsia="仿宋" w:cs="仿宋"/>
          <w:spacing w:val="-6"/>
          <w:sz w:val="32"/>
          <w:szCs w:val="32"/>
        </w:rPr>
        <w:t>；</w:t>
      </w:r>
      <w:r>
        <w:rPr>
          <w:rFonts w:ascii="仿宋" w:hAnsi="仿宋" w:eastAsia="仿宋" w:cs="仿宋"/>
          <w:spacing w:val="-4"/>
          <w:sz w:val="32"/>
          <w:szCs w:val="32"/>
        </w:rPr>
        <w:t>其中：</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1．因公出国（境）费预算支出0万元，比上年预算增加0万元，增长0%，主要原因：我部门“三公”经费均未使用一般公共预算资金，使用单位资金安排预算。</w:t>
      </w:r>
    </w:p>
    <w:p>
      <w:pPr>
        <w:pStyle w:val="6"/>
        <w:keepLines w:val="0"/>
        <w:pageBreakBefore w:val="0"/>
        <w:widowControl w:val="0"/>
        <w:tabs>
          <w:tab w:val="left" w:pos="2671"/>
          <w:tab w:val="left" w:pos="5000"/>
          <w:tab w:val="left" w:pos="6190"/>
        </w:tabs>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2．公务用车购置及运行维护费预算支出0万元。其中：</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（1）公务用车购置预算支出0万元，比上年预算增加0万元，增长0%，主要原因：我部门“三公”经费均未使用一般公共预算资金，使用单位资金安排预算。</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（2）公务用车运行维护费预算支出0万元，比上年预算增加0万元，增长0%，主要原因：我部门“三公”经费均未使用一般公共预算资金，使用单位资金安排预算。</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3．公务接待费预算支出0万元，比上年预算增加0万元，增长0%，主要原因：我部门“三公”经费均未使用一般公共预算资金，使用单位资金安排预算。</w:t>
      </w:r>
    </w:p>
    <w:p>
      <w:pPr>
        <w:keepLines w:val="0"/>
        <w:pageBreakBefore w:val="0"/>
        <w:widowControl w:val="0"/>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八、政府性基金预算支出预算情况说明</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实践杂志社2023年政府性基金支出预算支出0万元。与上年相比增加0万元，增长0%。主要原因是本部门无政府性基金预算支出。</w:t>
      </w:r>
    </w:p>
    <w:p>
      <w:pPr>
        <w:keepLines w:val="0"/>
        <w:pageBreakBefore w:val="0"/>
        <w:widowControl w:val="0"/>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九、国有资本经营预算支出预算情况说明</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实践杂志社2023年国有资本经营预算支出0万元。与上年相比增加0万元，增长0%。主要原因是本部门无国有资本经营预算支出。</w:t>
      </w:r>
    </w:p>
    <w:p>
      <w:pPr>
        <w:keepLines w:val="0"/>
        <w:pageBreakBefore w:val="0"/>
        <w:widowControl w:val="0"/>
        <w:numPr>
          <w:ilvl w:val="0"/>
          <w:numId w:val="2"/>
        </w:numPr>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项目支出预算情况说明</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实践杂志社2023年部门预算安排项目8个，项目预算总金额4225.75万元。其中，财政本年拨款金额1054.1万元，财政拨款结转结余131.67万元，财政专户管理资金0万元，单位资金3039.98万元。</w:t>
      </w:r>
    </w:p>
    <w:p>
      <w:pPr>
        <w:keepLines w:val="0"/>
        <w:pageBreakBefore w:val="0"/>
        <w:widowControl w:val="0"/>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十一、一般公共预算</w:t>
      </w:r>
      <w:r>
        <w:rPr>
          <w:rFonts w:hint="eastAsia" w:eastAsia="黑体" w:cs="黑体"/>
          <w:bCs/>
          <w:sz w:val="32"/>
          <w:szCs w:val="36"/>
          <w:lang w:val="en-US" w:eastAsia="zh-CN"/>
        </w:rPr>
        <w:t>事业单位</w:t>
      </w:r>
      <w:r>
        <w:rPr>
          <w:rFonts w:hint="eastAsia" w:eastAsia="黑体" w:cs="黑体"/>
          <w:bCs/>
          <w:sz w:val="32"/>
          <w:szCs w:val="36"/>
        </w:rPr>
        <w:t>运行经费支出预算情况说明</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实践杂志社2023事业单位一般公共预算机关运行经费预算支出2.19万元，与上年相比增加0万元，无增长、减少。主要原因是：该笔经费为定额拨付的用于退休干部的公用经费。</w:t>
      </w:r>
    </w:p>
    <w:p>
      <w:pPr>
        <w:keepLines w:val="0"/>
        <w:pageBreakBefore w:val="0"/>
        <w:widowControl w:val="0"/>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十二、政府采购支出预算情况说明</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2023年度政府采购支出预算总额1230.59万元，其中：拟采购货物支出1384.68万元、拟采购工程支出0万元、拟购买服务支出1076.5万元。</w:t>
      </w:r>
    </w:p>
    <w:p>
      <w:pPr>
        <w:keepLines w:val="0"/>
        <w:pageBreakBefore w:val="0"/>
        <w:widowControl w:val="0"/>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十三、国有资产占用情况说明</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共有车辆11辆，其中，一般公务用车2辆、执法执勤用车0辆、特种专业技术用车0辆、业务用车9辆、其他用车0辆等。单价50万元（含）以上的通用设备2台，单价100万元（含）以上的通用设备0台（套），单价200万元（含）以上的通用设备0台（套）；单价100万元（含）以上的专用设备0台（套），单价200万元（含）以上的专用设备0台（套）。</w:t>
      </w:r>
    </w:p>
    <w:p>
      <w:pPr>
        <w:keepLines w:val="0"/>
        <w:pageBreakBefore w:val="0"/>
        <w:widowControl w:val="0"/>
        <w:kinsoku/>
        <w:wordWrap/>
        <w:overflowPunct/>
        <w:topLinePunct w:val="0"/>
        <w:autoSpaceDE/>
        <w:autoSpaceDN/>
        <w:bidi w:val="0"/>
        <w:spacing w:line="500" w:lineRule="exact"/>
        <w:ind w:firstLine="640" w:firstLineChars="200"/>
        <w:textAlignment w:val="auto"/>
        <w:outlineLvl w:val="0"/>
        <w:rPr>
          <w:rFonts w:eastAsia="黑体" w:cs="黑体"/>
          <w:bCs/>
          <w:sz w:val="32"/>
          <w:szCs w:val="36"/>
        </w:rPr>
      </w:pPr>
      <w:r>
        <w:rPr>
          <w:rFonts w:hint="eastAsia" w:eastAsia="黑体" w:cs="黑体"/>
          <w:bCs/>
          <w:sz w:val="32"/>
          <w:szCs w:val="36"/>
        </w:rPr>
        <w:t>十四、预算绩效目标设置情况说明</w:t>
      </w:r>
    </w:p>
    <w:p>
      <w:pPr>
        <w:pStyle w:val="6"/>
        <w:keepLines w:val="0"/>
        <w:pageBreakBefore w:val="0"/>
        <w:widowControl w:val="0"/>
        <w:kinsoku/>
        <w:wordWrap/>
        <w:overflowPunct/>
        <w:topLinePunct w:val="0"/>
        <w:autoSpaceDE/>
        <w:autoSpaceDN/>
        <w:bidi w:val="0"/>
        <w:spacing w:after="0"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2023年，填报绩效目标的预算项目8个，公开绩效目标8个，公开项目占全部预算项目的100 %。公开填报绩效目标的项目预算4225.75万元，占全部项目预算的100%。 </w:t>
      </w:r>
    </w:p>
    <w:p>
      <w:pPr>
        <w:pStyle w:val="5"/>
        <w:keepLines w:val="0"/>
        <w:pageBreakBefore w:val="0"/>
        <w:widowControl w:val="0"/>
        <w:tabs>
          <w:tab w:val="left" w:pos="4392"/>
        </w:tabs>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w:t>
      </w:r>
      <w:r>
        <w:rPr>
          <w:rFonts w:hint="eastAsia" w:ascii="方正小标宋简体" w:hAnsi="方正小标宋简体" w:eastAsia="方正小标宋简体" w:cs="方正小标宋简体"/>
          <w:sz w:val="36"/>
          <w:szCs w:val="36"/>
          <w:lang w:val="en-US" w:eastAsia="zh-CN"/>
        </w:rPr>
        <w:t>三</w:t>
      </w:r>
      <w:r>
        <w:rPr>
          <w:rFonts w:hint="eastAsia" w:ascii="方正小标宋简体" w:hAnsi="方正小标宋简体" w:eastAsia="方正小标宋简体" w:cs="方正小标宋简体"/>
          <w:sz w:val="36"/>
          <w:szCs w:val="36"/>
        </w:rPr>
        <w:t>部分   名词解释</w:t>
      </w:r>
      <w:bookmarkStart w:id="0" w:name="_GoBack"/>
      <w:bookmarkEnd w:id="0"/>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sz w:val="32"/>
          <w:szCs w:val="32"/>
        </w:rPr>
      </w:pPr>
      <w:r>
        <w:rPr>
          <w:rFonts w:hint="eastAsia" w:eastAsia="仿宋_GB2312" w:cstheme="minorBidi"/>
          <w:b/>
          <w:bCs w:val="0"/>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二、一般公共预算拨款收入：</w:t>
      </w:r>
      <w:r>
        <w:rPr>
          <w:rFonts w:hint="eastAsia" w:eastAsia="仿宋_GB2312" w:cstheme="minorBidi"/>
          <w:bCs/>
          <w:sz w:val="32"/>
          <w:szCs w:val="32"/>
          <w:lang w:val="en-US" w:eastAsia="zh-CN"/>
        </w:rPr>
        <w:t xml:space="preserve">指财政当年拨付的资金。 </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三</w:t>
      </w:r>
      <w:r>
        <w:rPr>
          <w:rFonts w:hint="eastAsia" w:eastAsia="仿宋_GB2312" w:cstheme="minorBidi"/>
          <w:b/>
          <w:bCs w:val="0"/>
          <w:sz w:val="32"/>
          <w:szCs w:val="32"/>
        </w:rPr>
        <w:t>、财政专户管理资金：</w:t>
      </w:r>
      <w:r>
        <w:rPr>
          <w:rFonts w:hint="eastAsia" w:eastAsia="仿宋_GB2312" w:cstheme="minorBidi"/>
          <w:bCs/>
          <w:sz w:val="32"/>
          <w:szCs w:val="32"/>
        </w:rPr>
        <w:t>缴入财政专户、实行专项管理的高中以上学费、住宿费、高校委托培养费、函大、电大、夜大及短训班培训费等教育收费。</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四</w:t>
      </w:r>
      <w:r>
        <w:rPr>
          <w:rFonts w:hint="eastAsia" w:eastAsia="仿宋_GB2312" w:cstheme="minorBidi"/>
          <w:b/>
          <w:bCs w:val="0"/>
          <w:sz w:val="32"/>
          <w:szCs w:val="32"/>
        </w:rPr>
        <w:t>、单位资金：</w:t>
      </w:r>
      <w:r>
        <w:rPr>
          <w:rFonts w:hint="eastAsia" w:eastAsia="仿宋_GB2312" w:cstheme="minorBidi"/>
          <w:bCs/>
          <w:sz w:val="32"/>
          <w:szCs w:val="32"/>
        </w:rPr>
        <w:t>除财政拨款收入和财政专户管理资金以外的收入，包括事业收入（不含教育收费）、上级补助收入、附属单位上缴收入、事业单位经营收入及其他收入（包含债务收入、投资收益等）。</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五、事业收入：</w:t>
      </w:r>
      <w:r>
        <w:rPr>
          <w:rFonts w:hint="eastAsia" w:eastAsia="仿宋_GB2312" w:cstheme="minorBidi"/>
          <w:bCs/>
          <w:sz w:val="32"/>
          <w:szCs w:val="32"/>
          <w:lang w:val="en-US" w:eastAsia="zh-CN"/>
        </w:rPr>
        <w:t xml:space="preserve">指事业单位开展专业业务活动及辅助活动所 </w:t>
      </w:r>
    </w:p>
    <w:p>
      <w:pPr>
        <w:keepLines w:val="0"/>
        <w:pageBreakBefore w:val="0"/>
        <w:widowControl w:val="0"/>
        <w:kinsoku/>
        <w:wordWrap/>
        <w:overflowPunct/>
        <w:topLinePunct w:val="0"/>
        <w:autoSpaceDE/>
        <w:autoSpaceDN/>
        <w:bidi w:val="0"/>
        <w:spacing w:line="500" w:lineRule="exact"/>
        <w:ind w:firstLine="0" w:firstLineChars="0"/>
        <w:textAlignment w:val="auto"/>
        <w:rPr>
          <w:rFonts w:hint="eastAsia" w:eastAsia="仿宋_GB2312" w:cstheme="minorBidi"/>
          <w:bCs/>
          <w:sz w:val="32"/>
          <w:szCs w:val="32"/>
        </w:rPr>
      </w:pPr>
      <w:r>
        <w:rPr>
          <w:rFonts w:hint="eastAsia" w:eastAsia="仿宋_GB2312" w:cstheme="minorBidi"/>
          <w:bCs/>
          <w:sz w:val="32"/>
          <w:szCs w:val="32"/>
          <w:lang w:val="en-US" w:eastAsia="zh-CN"/>
        </w:rPr>
        <w:t xml:space="preserve">取得的收入。 </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六、事业单位经营收入：</w:t>
      </w:r>
      <w:r>
        <w:rPr>
          <w:rFonts w:hint="eastAsia" w:eastAsia="仿宋_GB2312" w:cstheme="minorBidi"/>
          <w:bCs/>
          <w:sz w:val="32"/>
          <w:szCs w:val="32"/>
          <w:lang w:val="en-US" w:eastAsia="zh-CN"/>
        </w:rPr>
        <w:t xml:space="preserve">指事业单位在专业业务活动及其辅 </w:t>
      </w:r>
    </w:p>
    <w:p>
      <w:pPr>
        <w:keepLines w:val="0"/>
        <w:pageBreakBefore w:val="0"/>
        <w:widowControl w:val="0"/>
        <w:kinsoku/>
        <w:wordWrap/>
        <w:overflowPunct/>
        <w:topLinePunct w:val="0"/>
        <w:autoSpaceDE/>
        <w:autoSpaceDN/>
        <w:bidi w:val="0"/>
        <w:spacing w:line="500" w:lineRule="exact"/>
        <w:textAlignment w:val="auto"/>
        <w:rPr>
          <w:rFonts w:hint="eastAsia" w:eastAsia="仿宋_GB2312" w:cstheme="minorBidi"/>
          <w:bCs/>
          <w:sz w:val="32"/>
          <w:szCs w:val="32"/>
        </w:rPr>
      </w:pPr>
      <w:r>
        <w:rPr>
          <w:rFonts w:hint="eastAsia" w:eastAsia="仿宋_GB2312" w:cstheme="minorBidi"/>
          <w:bCs/>
          <w:sz w:val="32"/>
          <w:szCs w:val="32"/>
          <w:lang w:val="en-US" w:eastAsia="zh-CN"/>
        </w:rPr>
        <w:t>助活动之外开展非独立核算经营活动取得的收入。</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七、其他收入：</w:t>
      </w:r>
      <w:r>
        <w:rPr>
          <w:rFonts w:hint="eastAsia" w:eastAsia="仿宋_GB2312" w:cstheme="minorBidi"/>
          <w:bCs/>
          <w:sz w:val="32"/>
          <w:szCs w:val="32"/>
          <w:lang w:val="en-US" w:eastAsia="zh-CN"/>
        </w:rPr>
        <w:t xml:space="preserve">指除上述“财政拨款收入”、“事业收入”、“事业单位经营收入”等以外的收入。主要是按规定动用的售房收入、存款利息收入等。 </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八、用事业基金弥补收支差额：</w:t>
      </w:r>
      <w:r>
        <w:rPr>
          <w:rFonts w:hint="eastAsia" w:eastAsia="仿宋_GB2312" w:cstheme="minorBidi"/>
          <w:bCs/>
          <w:sz w:val="32"/>
          <w:szCs w:val="32"/>
          <w:lang w:val="en-US" w:eastAsia="zh-CN"/>
        </w:rPr>
        <w:t xml:space="preserve">指事业单位在预计用当年的 “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 度收支缺口的资金。 </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lang w:val="en-US" w:eastAsia="zh-CN"/>
        </w:rPr>
      </w:pPr>
      <w:r>
        <w:rPr>
          <w:rFonts w:hint="eastAsia" w:eastAsia="仿宋_GB2312" w:cstheme="minorBidi"/>
          <w:b/>
          <w:bCs w:val="0"/>
          <w:sz w:val="32"/>
          <w:szCs w:val="32"/>
          <w:lang w:val="en-US" w:eastAsia="zh-CN"/>
        </w:rPr>
        <w:t>九、上年结转：</w:t>
      </w:r>
      <w:r>
        <w:rPr>
          <w:rFonts w:hint="eastAsia" w:eastAsia="仿宋_GB2312" w:cstheme="minorBidi"/>
          <w:bCs/>
          <w:sz w:val="32"/>
          <w:szCs w:val="32"/>
          <w:lang w:val="en-US" w:eastAsia="zh-CN"/>
        </w:rPr>
        <w:t xml:space="preserve">指以前年度尚未完成、结转到本年仍按原规定用途继续使用的资金。 </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十、结转下年：</w:t>
      </w:r>
      <w:r>
        <w:rPr>
          <w:rFonts w:hint="eastAsia" w:eastAsia="仿宋_GB2312" w:cstheme="minorBidi"/>
          <w:bCs/>
          <w:sz w:val="32"/>
          <w:szCs w:val="32"/>
          <w:lang w:val="en-US" w:eastAsia="zh-CN"/>
        </w:rPr>
        <w:t>指以前年度预算安排、因客观条件发生变化无法按原计划实施，需延迟到以后年度按原规定用途继续使用的资金。</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十一、一般公共服务（类）财政事务（款）：</w:t>
      </w:r>
      <w:r>
        <w:rPr>
          <w:rFonts w:hint="eastAsia" w:eastAsia="仿宋_GB2312" w:cstheme="minorBidi"/>
          <w:bCs/>
          <w:sz w:val="32"/>
          <w:szCs w:val="32"/>
          <w:lang w:val="en-US" w:eastAsia="zh-CN"/>
        </w:rPr>
        <w:t xml:space="preserve">指用于保障机构正常运行、开展财政管理活动的支出。 </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十二、社会保障和就业（类）人力资源和社会保障管理事务（款）：</w:t>
      </w:r>
      <w:r>
        <w:rPr>
          <w:rFonts w:hint="eastAsia" w:eastAsia="仿宋_GB2312" w:cstheme="minorBidi"/>
          <w:bCs/>
          <w:sz w:val="32"/>
          <w:szCs w:val="32"/>
          <w:lang w:val="en-US" w:eastAsia="zh-CN"/>
        </w:rPr>
        <w:t xml:space="preserve">指用于人力资源引进人才补助方面的支出。 </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十三、社会保障和就业支出（类）行政事业单位养老支出（款）：</w:t>
      </w:r>
      <w:r>
        <w:rPr>
          <w:rFonts w:hint="eastAsia" w:eastAsia="仿宋_GB2312" w:cstheme="minorBidi"/>
          <w:bCs/>
          <w:sz w:val="32"/>
          <w:szCs w:val="32"/>
          <w:lang w:val="en-US" w:eastAsia="zh-CN"/>
        </w:rPr>
        <w:t xml:space="preserve">指机关及属事业单位按照国家政策规定用于养老方面的支出。 </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十四、住房保障支出（类）住房改革支出（款）：</w:t>
      </w:r>
      <w:r>
        <w:rPr>
          <w:rFonts w:hint="eastAsia" w:eastAsia="仿宋_GB2312" w:cstheme="minorBidi"/>
          <w:bCs/>
          <w:sz w:val="32"/>
          <w:szCs w:val="32"/>
          <w:lang w:val="en-US" w:eastAsia="zh-CN"/>
        </w:rPr>
        <w:t xml:space="preserve">指机关及属事业单位按照国家政策规定用于住房改革方面的支出。 </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十五、卫生健康支出（类）行政事业单位医疗（款）：</w:t>
      </w:r>
      <w:r>
        <w:rPr>
          <w:rFonts w:hint="eastAsia" w:eastAsia="仿宋_GB2312" w:cstheme="minorBidi"/>
          <w:bCs/>
          <w:sz w:val="32"/>
          <w:szCs w:val="32"/>
          <w:lang w:val="en-US" w:eastAsia="zh-CN"/>
        </w:rPr>
        <w:t xml:space="preserve">指机关及属事业单位按照国家政策规定用于医疗方面的支出。 </w:t>
      </w:r>
    </w:p>
    <w:p>
      <w:pPr>
        <w:keepLines w:val="0"/>
        <w:pageBreakBefore w:val="0"/>
        <w:widowControl w:val="0"/>
        <w:kinsoku/>
        <w:wordWrap/>
        <w:overflowPunct/>
        <w:topLinePunct w:val="0"/>
        <w:autoSpaceDE/>
        <w:autoSpaceDN/>
        <w:bidi w:val="0"/>
        <w:spacing w:line="500" w:lineRule="exact"/>
        <w:ind w:firstLine="643" w:firstLineChars="200"/>
        <w:textAlignment w:val="auto"/>
        <w:rPr>
          <w:rFonts w:hint="eastAsia" w:eastAsia="仿宋_GB2312" w:cstheme="minorBidi"/>
          <w:bCs/>
          <w:sz w:val="32"/>
          <w:szCs w:val="32"/>
        </w:rPr>
      </w:pPr>
      <w:r>
        <w:rPr>
          <w:rFonts w:hint="eastAsia" w:eastAsia="仿宋_GB2312" w:cstheme="minorBidi"/>
          <w:b/>
          <w:bCs w:val="0"/>
          <w:sz w:val="32"/>
          <w:szCs w:val="32"/>
          <w:lang w:val="en-US" w:eastAsia="zh-CN"/>
        </w:rPr>
        <w:t>十六、住房公积金：</w:t>
      </w:r>
      <w:r>
        <w:rPr>
          <w:rFonts w:hint="eastAsia" w:eastAsia="仿宋_GB2312" w:cstheme="minorBidi"/>
          <w:bCs/>
          <w:sz w:val="32"/>
          <w:szCs w:val="32"/>
          <w:lang w:val="en-US" w:eastAsia="zh-CN"/>
        </w:rPr>
        <w:t xml:space="preserve">指按照国家统一规定，按规定比例为职工缴纳的住房公积金。 </w:t>
      </w:r>
    </w:p>
    <w:p>
      <w:pPr>
        <w:keepLines w:val="0"/>
        <w:pageBreakBefore w:val="0"/>
        <w:widowControl w:val="0"/>
        <w:kinsoku/>
        <w:wordWrap/>
        <w:overflowPunct/>
        <w:topLinePunct w:val="0"/>
        <w:autoSpaceDE/>
        <w:autoSpaceDN/>
        <w:bidi w:val="0"/>
        <w:spacing w:line="500" w:lineRule="exact"/>
        <w:ind w:firstLine="643" w:firstLineChars="200"/>
        <w:textAlignment w:val="auto"/>
        <w:rPr>
          <w:rFonts w:eastAsia="仿宋_GB2312" w:cstheme="minorBidi"/>
          <w:sz w:val="32"/>
          <w:szCs w:val="32"/>
        </w:rPr>
      </w:pPr>
      <w:r>
        <w:rPr>
          <w:rFonts w:hint="eastAsia" w:eastAsia="仿宋_GB2312" w:cstheme="minorBidi"/>
          <w:b/>
          <w:bCs w:val="0"/>
          <w:sz w:val="32"/>
          <w:szCs w:val="32"/>
          <w:lang w:val="en-US" w:eastAsia="zh-CN"/>
        </w:rPr>
        <w:t>十七</w:t>
      </w:r>
      <w:r>
        <w:rPr>
          <w:rFonts w:hint="eastAsia" w:eastAsia="仿宋_GB2312" w:cstheme="minorBidi"/>
          <w:b/>
          <w:bCs w:val="0"/>
          <w:sz w:val="32"/>
          <w:szCs w:val="32"/>
        </w:rPr>
        <w:t>、基本支出：</w:t>
      </w:r>
      <w:r>
        <w:rPr>
          <w:rFonts w:hint="eastAsia" w:eastAsia="仿宋_GB2312" w:cstheme="minorBidi"/>
          <w:sz w:val="32"/>
          <w:szCs w:val="32"/>
        </w:rPr>
        <w:t>指为保障机构正常运转、完成工作任务而发生的人员支出和公用支出。</w:t>
      </w:r>
    </w:p>
    <w:p>
      <w:pPr>
        <w:keepLines w:val="0"/>
        <w:pageBreakBefore w:val="0"/>
        <w:widowControl w:val="0"/>
        <w:kinsoku/>
        <w:wordWrap/>
        <w:overflowPunct/>
        <w:topLinePunct w:val="0"/>
        <w:autoSpaceDE/>
        <w:autoSpaceDN/>
        <w:bidi w:val="0"/>
        <w:spacing w:line="500" w:lineRule="exact"/>
        <w:ind w:firstLine="643" w:firstLineChars="200"/>
        <w:textAlignment w:val="auto"/>
        <w:rPr>
          <w:rFonts w:eastAsia="仿宋_GB2312" w:cstheme="minorBidi"/>
          <w:sz w:val="32"/>
          <w:szCs w:val="32"/>
        </w:rPr>
      </w:pPr>
      <w:r>
        <w:rPr>
          <w:rFonts w:hint="eastAsia" w:eastAsia="仿宋_GB2312" w:cstheme="minorBidi"/>
          <w:b/>
          <w:bCs w:val="0"/>
          <w:sz w:val="32"/>
          <w:szCs w:val="32"/>
          <w:lang w:val="en-US" w:eastAsia="zh-CN"/>
        </w:rPr>
        <w:t>十八</w:t>
      </w:r>
      <w:r>
        <w:rPr>
          <w:rFonts w:hint="eastAsia" w:eastAsia="仿宋_GB2312" w:cstheme="minorBidi"/>
          <w:b/>
          <w:bCs w:val="0"/>
          <w:sz w:val="32"/>
          <w:szCs w:val="32"/>
        </w:rPr>
        <w:t>、项目支出：</w:t>
      </w:r>
      <w:r>
        <w:rPr>
          <w:rFonts w:hint="eastAsia" w:eastAsia="仿宋_GB2312" w:cstheme="minorBidi"/>
          <w:sz w:val="32"/>
          <w:szCs w:val="32"/>
        </w:rPr>
        <w:t>指在基本支出之外为完成特定工作任务和事业发展目标所发生的支出。</w:t>
      </w:r>
    </w:p>
    <w:p>
      <w:pPr>
        <w:keepLines w:val="0"/>
        <w:pageBreakBefore w:val="0"/>
        <w:widowControl w:val="0"/>
        <w:kinsoku/>
        <w:wordWrap/>
        <w:overflowPunct/>
        <w:topLinePunct w:val="0"/>
        <w:autoSpaceDE/>
        <w:autoSpaceDN/>
        <w:bidi w:val="0"/>
        <w:spacing w:line="500" w:lineRule="exact"/>
        <w:ind w:firstLine="643" w:firstLineChars="200"/>
        <w:textAlignment w:val="auto"/>
        <w:rPr>
          <w:rFonts w:eastAsia="仿宋_GB2312" w:cstheme="minorBidi"/>
          <w:sz w:val="32"/>
          <w:szCs w:val="32"/>
        </w:rPr>
      </w:pPr>
      <w:r>
        <w:rPr>
          <w:rFonts w:hint="eastAsia" w:eastAsia="仿宋_GB2312" w:cstheme="minorBidi"/>
          <w:b/>
          <w:bCs w:val="0"/>
          <w:sz w:val="32"/>
          <w:szCs w:val="32"/>
          <w:lang w:val="en-US" w:eastAsia="zh-CN"/>
        </w:rPr>
        <w:t>十九</w:t>
      </w:r>
      <w:r>
        <w:rPr>
          <w:rFonts w:hint="eastAsia" w:eastAsia="仿宋_GB2312" w:cstheme="minorBidi"/>
          <w:b/>
          <w:bCs w:val="0"/>
          <w:sz w:val="32"/>
          <w:szCs w:val="32"/>
        </w:rPr>
        <w:t>、“三公”经费：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keepLines w:val="0"/>
        <w:pageBreakBefore w:val="0"/>
        <w:widowControl w:val="0"/>
        <w:kinsoku/>
        <w:wordWrap/>
        <w:overflowPunct/>
        <w:topLinePunct w:val="0"/>
        <w:autoSpaceDE/>
        <w:autoSpaceDN/>
        <w:bidi w:val="0"/>
        <w:spacing w:line="500" w:lineRule="exact"/>
        <w:ind w:firstLine="643" w:firstLineChars="200"/>
        <w:textAlignment w:val="auto"/>
      </w:pPr>
      <w:r>
        <w:rPr>
          <w:rFonts w:hint="eastAsia" w:eastAsia="仿宋_GB2312" w:cstheme="minorBidi"/>
          <w:b/>
          <w:bCs w:val="0"/>
          <w:sz w:val="32"/>
          <w:szCs w:val="32"/>
          <w:lang w:val="en-US" w:eastAsia="zh-CN"/>
        </w:rPr>
        <w:t>二十</w:t>
      </w:r>
      <w:r>
        <w:rPr>
          <w:rFonts w:hint="eastAsia" w:eastAsia="仿宋_GB2312" w:cstheme="minorBidi"/>
          <w:b/>
          <w:bCs w:val="0"/>
          <w:sz w:val="32"/>
          <w:szCs w:val="32"/>
        </w:rPr>
        <w:t>、机关运行经费：</w:t>
      </w:r>
      <w:r>
        <w:rPr>
          <w:rFonts w:hint="eastAsia" w:eastAsia="仿宋_GB2312" w:cstheme="minorBidi"/>
          <w:sz w:val="32"/>
          <w:szCs w:val="32"/>
        </w:rPr>
        <w:t>指部门</w:t>
      </w:r>
      <w:r>
        <w:rPr>
          <w:rFonts w:hint="eastAsia" w:eastAsia="仿宋_GB2312" w:cstheme="minorBidi"/>
          <w:sz w:val="32"/>
          <w:szCs w:val="32"/>
          <w:lang w:val="en-US" w:eastAsia="zh-CN"/>
        </w:rPr>
        <w:t>或（机关、事业）</w:t>
      </w:r>
      <w:r>
        <w:rPr>
          <w:rFonts w:hint="eastAsia" w:eastAsia="仿宋_GB2312" w:cstheme="minorBidi"/>
          <w:sz w:val="32"/>
          <w:szCs w:val="32"/>
        </w:rPr>
        <w:t>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5"/>
        <w:keepLines w:val="0"/>
        <w:pageBreakBefore w:val="0"/>
        <w:widowControl w:val="0"/>
        <w:tabs>
          <w:tab w:val="left" w:pos="4392"/>
        </w:tabs>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第四部分</w:t>
      </w:r>
      <w:r>
        <w:rPr>
          <w:rFonts w:hint="eastAsia" w:ascii="方正小标宋简体" w:hAnsi="方正小标宋简体" w:eastAsia="方正小标宋简体" w:cs="方正小标宋简体"/>
          <w:sz w:val="36"/>
          <w:szCs w:val="36"/>
        </w:rPr>
        <w:t xml:space="preserve"> </w:t>
      </w:r>
      <w:r>
        <w:rPr>
          <w:rFonts w:hint="eastAsia" w:ascii="方正小标宋简体" w:hAnsi="方正小标宋简体" w:eastAsia="方正小标宋简体" w:cs="方正小标宋简体"/>
          <w:sz w:val="36"/>
          <w:szCs w:val="36"/>
          <w:lang w:val="en-US" w:eastAsia="zh-CN"/>
        </w:rPr>
        <w:t xml:space="preserve"> 预算公开联系方式信息反馈渠道</w:t>
      </w:r>
    </w:p>
    <w:p>
      <w:pPr>
        <w:keepLines w:val="0"/>
        <w:pageBreakBefore w:val="0"/>
        <w:widowControl w:val="0"/>
        <w:kinsoku/>
        <w:wordWrap/>
        <w:overflowPunct/>
        <w:topLinePunct w:val="0"/>
        <w:autoSpaceDE/>
        <w:autoSpaceDN/>
        <w:bidi w:val="0"/>
        <w:spacing w:line="5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联系人：祁敏</w:t>
      </w:r>
    </w:p>
    <w:p>
      <w:pPr>
        <w:pStyle w:val="2"/>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联系电话:13624713810</w:t>
      </w:r>
    </w:p>
    <w:p>
      <w:pPr>
        <w:pStyle w:val="5"/>
        <w:keepLines w:val="0"/>
        <w:pageBreakBefore w:val="0"/>
        <w:widowControl w:val="0"/>
        <w:tabs>
          <w:tab w:val="left" w:pos="4392"/>
        </w:tabs>
        <w:kinsoku/>
        <w:wordWrap/>
        <w:overflowPunct/>
        <w:topLinePunct w:val="0"/>
        <w:autoSpaceDE/>
        <w:autoSpaceDN/>
        <w:bidi w:val="0"/>
        <w:spacing w:line="5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第五部分  2023年度部门预算表</w:t>
      </w:r>
    </w:p>
    <w:p>
      <w:pPr>
        <w:pStyle w:val="6"/>
        <w:keepLines w:val="0"/>
        <w:pageBreakBefore w:val="0"/>
        <w:widowControl w:val="0"/>
        <w:numPr>
          <w:ilvl w:val="0"/>
          <w:numId w:val="0"/>
        </w:numPr>
        <w:kinsoku/>
        <w:wordWrap/>
        <w:overflowPunct/>
        <w:topLinePunct w:val="0"/>
        <w:autoSpaceDE/>
        <w:autoSpaceDN/>
        <w:bidi w:val="0"/>
        <w:spacing w:after="0"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收支总表</w:t>
      </w:r>
    </w:p>
    <w:p>
      <w:pPr>
        <w:pStyle w:val="6"/>
        <w:keepLines w:val="0"/>
        <w:pageBreakBefore w:val="0"/>
        <w:widowControl w:val="0"/>
        <w:kinsoku/>
        <w:wordWrap/>
        <w:overflowPunct/>
        <w:topLinePunct w:val="0"/>
        <w:autoSpaceDE/>
        <w:autoSpaceDN/>
        <w:bidi w:val="0"/>
        <w:spacing w:after="0"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二、收入总表</w:t>
      </w:r>
    </w:p>
    <w:p>
      <w:pPr>
        <w:pStyle w:val="6"/>
        <w:keepLines w:val="0"/>
        <w:pageBreakBefore w:val="0"/>
        <w:widowControl w:val="0"/>
        <w:kinsoku/>
        <w:wordWrap/>
        <w:overflowPunct/>
        <w:topLinePunct w:val="0"/>
        <w:autoSpaceDE/>
        <w:autoSpaceDN/>
        <w:bidi w:val="0"/>
        <w:spacing w:after="0" w:line="500" w:lineRule="exact"/>
        <w:ind w:firstLine="608" w:firstLineChars="200"/>
        <w:jc w:val="left"/>
        <w:textAlignment w:val="auto"/>
        <w:rPr>
          <w:rFonts w:hint="eastAsia" w:ascii="仿宋" w:hAnsi="仿宋" w:eastAsia="仿宋" w:cs="仿宋"/>
          <w:sz w:val="32"/>
          <w:szCs w:val="32"/>
        </w:rPr>
      </w:pPr>
      <w:r>
        <w:rPr>
          <w:rFonts w:hint="eastAsia" w:ascii="仿宋" w:hAnsi="仿宋" w:eastAsia="仿宋" w:cs="仿宋"/>
          <w:w w:val="95"/>
          <w:sz w:val="32"/>
          <w:szCs w:val="32"/>
        </w:rPr>
        <w:t>三、支出总表</w:t>
      </w:r>
    </w:p>
    <w:p>
      <w:pPr>
        <w:pStyle w:val="6"/>
        <w:keepLines w:val="0"/>
        <w:pageBreakBefore w:val="0"/>
        <w:widowControl w:val="0"/>
        <w:kinsoku/>
        <w:wordWrap/>
        <w:overflowPunct/>
        <w:topLinePunct w:val="0"/>
        <w:autoSpaceDE/>
        <w:autoSpaceDN/>
        <w:bidi w:val="0"/>
        <w:spacing w:after="0" w:line="500" w:lineRule="exact"/>
        <w:ind w:firstLine="608" w:firstLineChars="200"/>
        <w:jc w:val="left"/>
        <w:textAlignment w:val="auto"/>
        <w:rPr>
          <w:rFonts w:hint="eastAsia" w:ascii="仿宋" w:hAnsi="仿宋" w:eastAsia="仿宋" w:cs="仿宋"/>
          <w:sz w:val="32"/>
          <w:szCs w:val="32"/>
        </w:rPr>
      </w:pPr>
      <w:r>
        <w:rPr>
          <w:rFonts w:hint="eastAsia" w:ascii="仿宋" w:hAnsi="仿宋" w:eastAsia="仿宋" w:cs="仿宋"/>
          <w:w w:val="95"/>
          <w:sz w:val="32"/>
          <w:szCs w:val="32"/>
        </w:rPr>
        <w:t>四、财政拨款收支总表</w:t>
      </w:r>
    </w:p>
    <w:p>
      <w:pPr>
        <w:pStyle w:val="6"/>
        <w:keepLines w:val="0"/>
        <w:pageBreakBefore w:val="0"/>
        <w:widowControl w:val="0"/>
        <w:kinsoku/>
        <w:wordWrap/>
        <w:overflowPunct/>
        <w:topLinePunct w:val="0"/>
        <w:autoSpaceDE/>
        <w:autoSpaceDN/>
        <w:bidi w:val="0"/>
        <w:spacing w:after="0" w:line="500" w:lineRule="exact"/>
        <w:ind w:firstLine="608" w:firstLineChars="200"/>
        <w:jc w:val="left"/>
        <w:textAlignment w:val="auto"/>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pPr>
        <w:pStyle w:val="6"/>
        <w:keepLines w:val="0"/>
        <w:pageBreakBefore w:val="0"/>
        <w:widowControl w:val="0"/>
        <w:kinsoku/>
        <w:wordWrap/>
        <w:overflowPunct/>
        <w:topLinePunct w:val="0"/>
        <w:autoSpaceDE/>
        <w:autoSpaceDN/>
        <w:bidi w:val="0"/>
        <w:spacing w:after="0" w:line="500" w:lineRule="exact"/>
        <w:ind w:firstLine="608" w:firstLineChars="200"/>
        <w:jc w:val="left"/>
        <w:textAlignment w:val="auto"/>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pPr>
        <w:pStyle w:val="6"/>
        <w:keepLines w:val="0"/>
        <w:pageBreakBefore w:val="0"/>
        <w:widowControl w:val="0"/>
        <w:kinsoku/>
        <w:wordWrap/>
        <w:overflowPunct/>
        <w:topLinePunct w:val="0"/>
        <w:autoSpaceDE/>
        <w:autoSpaceDN/>
        <w:bidi w:val="0"/>
        <w:spacing w:after="0" w:line="500" w:lineRule="exact"/>
        <w:ind w:firstLine="608" w:firstLineChars="200"/>
        <w:jc w:val="left"/>
        <w:textAlignment w:val="auto"/>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pPr>
        <w:pStyle w:val="6"/>
        <w:keepLines w:val="0"/>
        <w:pageBreakBefore w:val="0"/>
        <w:widowControl w:val="0"/>
        <w:kinsoku/>
        <w:wordWrap/>
        <w:overflowPunct/>
        <w:topLinePunct w:val="0"/>
        <w:autoSpaceDE/>
        <w:autoSpaceDN/>
        <w:bidi w:val="0"/>
        <w:spacing w:after="0" w:line="500" w:lineRule="exact"/>
        <w:ind w:firstLine="608" w:firstLineChars="200"/>
        <w:jc w:val="left"/>
        <w:textAlignment w:val="auto"/>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pPr>
        <w:pStyle w:val="6"/>
        <w:keepLines w:val="0"/>
        <w:pageBreakBefore w:val="0"/>
        <w:widowControl w:val="0"/>
        <w:kinsoku/>
        <w:wordWrap/>
        <w:overflowPunct/>
        <w:topLinePunct w:val="0"/>
        <w:autoSpaceDE/>
        <w:autoSpaceDN/>
        <w:bidi w:val="0"/>
        <w:spacing w:after="0"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九、国有资本经营预算支出表</w:t>
      </w:r>
    </w:p>
    <w:p>
      <w:pPr>
        <w:pStyle w:val="6"/>
        <w:keepLines w:val="0"/>
        <w:pageBreakBefore w:val="0"/>
        <w:widowControl w:val="0"/>
        <w:kinsoku/>
        <w:wordWrap/>
        <w:overflowPunct/>
        <w:topLinePunct w:val="0"/>
        <w:autoSpaceDE/>
        <w:autoSpaceDN/>
        <w:bidi w:val="0"/>
        <w:spacing w:after="0"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十、项目支出表</w:t>
      </w:r>
    </w:p>
    <w:p>
      <w:pPr>
        <w:pStyle w:val="6"/>
        <w:keepLines w:val="0"/>
        <w:pageBreakBefore w:val="0"/>
        <w:widowControl w:val="0"/>
        <w:kinsoku/>
        <w:wordWrap/>
        <w:overflowPunct/>
        <w:topLinePunct w:val="0"/>
        <w:autoSpaceDE/>
        <w:autoSpaceDN/>
        <w:bidi w:val="0"/>
        <w:spacing w:after="0" w:line="50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十一、项目绩效目标表</w:t>
      </w:r>
    </w:p>
    <w:p>
      <w:pPr>
        <w:pStyle w:val="6"/>
        <w:keepLines w:val="0"/>
        <w:pageBreakBefore w:val="0"/>
        <w:widowControl w:val="0"/>
        <w:kinsoku/>
        <w:wordWrap/>
        <w:overflowPunct/>
        <w:topLinePunct w:val="0"/>
        <w:autoSpaceDE/>
        <w:autoSpaceDN/>
        <w:bidi w:val="0"/>
        <w:spacing w:after="0" w:line="500" w:lineRule="exact"/>
        <w:ind w:firstLine="608"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w w:val="95"/>
          <w:sz w:val="32"/>
          <w:szCs w:val="32"/>
        </w:rPr>
        <w:t>十二、政府采购预算表</w:t>
      </w:r>
    </w:p>
    <w:p>
      <w:pPr>
        <w:pStyle w:val="2"/>
        <w:keepLines w:val="0"/>
        <w:pageBreakBefore w:val="0"/>
        <w:widowControl w:val="0"/>
        <w:kinsoku/>
        <w:wordWrap/>
        <w:overflowPunct/>
        <w:topLinePunct w:val="0"/>
        <w:autoSpaceDE/>
        <w:autoSpaceDN/>
        <w:bidi w:val="0"/>
        <w:spacing w:after="0" w:line="500" w:lineRule="exact"/>
        <w:ind w:left="0" w:leftChars="0"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备注</w:t>
      </w:r>
      <w:r>
        <w:rPr>
          <w:rFonts w:hint="eastAsia" w:ascii="仿宋" w:hAnsi="仿宋" w:eastAsia="仿宋" w:cs="仿宋"/>
          <w:sz w:val="32"/>
          <w:szCs w:val="32"/>
          <w:lang w:val="en-US" w:eastAsia="zh-CN"/>
        </w:rPr>
        <w:t>：</w:t>
      </w:r>
    </w:p>
    <w:p>
      <w:pPr>
        <w:pStyle w:val="2"/>
        <w:keepLines w:val="0"/>
        <w:pageBreakBefore w:val="0"/>
        <w:widowControl w:val="0"/>
        <w:kinsoku/>
        <w:wordWrap/>
        <w:overflowPunct/>
        <w:topLinePunct w:val="0"/>
        <w:autoSpaceDE/>
        <w:autoSpaceDN/>
        <w:bidi w:val="0"/>
        <w:spacing w:after="0"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1.预算公开表见附件。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sz w:val="32"/>
          <w:szCs w:val="32"/>
          <w:lang w:val="en-US"/>
        </w:rPr>
      </w:pPr>
      <w:r>
        <w:rPr>
          <w:rFonts w:hint="eastAsia" w:ascii="仿宋" w:hAnsi="仿宋" w:eastAsia="仿宋" w:cs="仿宋"/>
          <w:sz w:val="32"/>
          <w:szCs w:val="32"/>
          <w:lang w:val="en-US" w:eastAsia="zh-CN"/>
        </w:rPr>
        <w:t>2.2023年度部门预算表中，</w:t>
      </w:r>
      <w:r>
        <w:rPr>
          <w:rFonts w:hint="eastAsia" w:ascii="仿宋_GB2312" w:eastAsia="仿宋_GB2312"/>
          <w:sz w:val="32"/>
          <w:szCs w:val="32"/>
        </w:rPr>
        <w:t>一般公共预算“三公”经费支出表</w:t>
      </w:r>
      <w:r>
        <w:rPr>
          <w:rFonts w:hint="eastAsia" w:ascii="仿宋_GB2312" w:eastAsia="仿宋_GB2312"/>
          <w:sz w:val="32"/>
          <w:szCs w:val="32"/>
          <w:lang w:val="en-US" w:eastAsia="zh-CN"/>
        </w:rPr>
        <w:t>、政府性基金预算支出表、国有资本经营预算支出表共3张表为空表，我部门无相关预算支出。</w:t>
      </w:r>
    </w:p>
    <w:p>
      <w:pPr>
        <w:pStyle w:val="2"/>
        <w:keepLines w:val="0"/>
        <w:pageBreakBefore w:val="0"/>
        <w:widowControl w:val="0"/>
        <w:kinsoku/>
        <w:wordWrap/>
        <w:overflowPunct/>
        <w:topLinePunct w:val="0"/>
        <w:autoSpaceDE/>
        <w:autoSpaceDN/>
        <w:bidi w:val="0"/>
        <w:spacing w:after="0" w:line="500" w:lineRule="exact"/>
        <w:ind w:left="0" w:leftChars="0" w:firstLine="0" w:firstLineChars="0"/>
        <w:textAlignment w:val="auto"/>
        <w:rPr>
          <w:rFonts w:hint="default" w:ascii="仿宋" w:hAnsi="仿宋" w:eastAsia="仿宋" w:cs="仿宋"/>
          <w:sz w:val="32"/>
          <w:szCs w:val="32"/>
          <w:lang w:val="en-US" w:eastAsia="zh-CN"/>
        </w:rPr>
      </w:pPr>
    </w:p>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4364"/>
    <w:multiLevelType w:val="singleLevel"/>
    <w:tmpl w:val="4EC74364"/>
    <w:lvl w:ilvl="0" w:tentative="0">
      <w:start w:val="1"/>
      <w:numFmt w:val="chineseCounting"/>
      <w:suff w:val="nothing"/>
      <w:lvlText w:val="%1、"/>
      <w:lvlJc w:val="left"/>
      <w:rPr>
        <w:rFonts w:hint="eastAsia"/>
      </w:rPr>
    </w:lvl>
  </w:abstractNum>
  <w:abstractNum w:abstractNumId="1">
    <w:nsid w:val="525EFB57"/>
    <w:multiLevelType w:val="singleLevel"/>
    <w:tmpl w:val="525EFB57"/>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MGZkZTg5NTM5NjZhMzc0Yjk1MjU5ODkwMzY3MDcifQ=="/>
    <w:docVar w:name="KSO_WPS_MARK_KEY" w:val="6641a49f-944f-4fed-97fd-6ad935da3778"/>
  </w:docVars>
  <w:rsids>
    <w:rsidRoot w:val="6ABE7FF0"/>
    <w:rsid w:val="001307DF"/>
    <w:rsid w:val="00F77EA9"/>
    <w:rsid w:val="02571C51"/>
    <w:rsid w:val="030E7D1A"/>
    <w:rsid w:val="03296ACE"/>
    <w:rsid w:val="034A183E"/>
    <w:rsid w:val="03DF5B3C"/>
    <w:rsid w:val="0442248D"/>
    <w:rsid w:val="044F7B33"/>
    <w:rsid w:val="049F6B39"/>
    <w:rsid w:val="053275E8"/>
    <w:rsid w:val="054F1F1D"/>
    <w:rsid w:val="0665574A"/>
    <w:rsid w:val="067E031F"/>
    <w:rsid w:val="076F4704"/>
    <w:rsid w:val="079D5B7B"/>
    <w:rsid w:val="07C86EB9"/>
    <w:rsid w:val="07E82076"/>
    <w:rsid w:val="090C379F"/>
    <w:rsid w:val="090E5DF9"/>
    <w:rsid w:val="0924415A"/>
    <w:rsid w:val="09AE1608"/>
    <w:rsid w:val="0A6401AD"/>
    <w:rsid w:val="0AFE64A2"/>
    <w:rsid w:val="0B4500BE"/>
    <w:rsid w:val="0C4E2995"/>
    <w:rsid w:val="0CCD2B80"/>
    <w:rsid w:val="0CCF008D"/>
    <w:rsid w:val="0D360235"/>
    <w:rsid w:val="0D796E2B"/>
    <w:rsid w:val="0E3F37C6"/>
    <w:rsid w:val="0E3F3A32"/>
    <w:rsid w:val="0F55614D"/>
    <w:rsid w:val="0F653464"/>
    <w:rsid w:val="0F8C3BC7"/>
    <w:rsid w:val="10217EE4"/>
    <w:rsid w:val="10E62116"/>
    <w:rsid w:val="12654CF5"/>
    <w:rsid w:val="128B44D6"/>
    <w:rsid w:val="134B2703"/>
    <w:rsid w:val="140E350D"/>
    <w:rsid w:val="14732400"/>
    <w:rsid w:val="14C03686"/>
    <w:rsid w:val="14EE0741"/>
    <w:rsid w:val="16507F2C"/>
    <w:rsid w:val="16551BAC"/>
    <w:rsid w:val="16C40962"/>
    <w:rsid w:val="16CA6BE3"/>
    <w:rsid w:val="16E06451"/>
    <w:rsid w:val="16E502AF"/>
    <w:rsid w:val="180720DF"/>
    <w:rsid w:val="190A31FE"/>
    <w:rsid w:val="19121FD6"/>
    <w:rsid w:val="195B1BCF"/>
    <w:rsid w:val="195D0E45"/>
    <w:rsid w:val="1AB360C4"/>
    <w:rsid w:val="1AD55F64"/>
    <w:rsid w:val="1AF41CF0"/>
    <w:rsid w:val="1B303586"/>
    <w:rsid w:val="1BE61063"/>
    <w:rsid w:val="1CAD3A26"/>
    <w:rsid w:val="1D135237"/>
    <w:rsid w:val="1D344685"/>
    <w:rsid w:val="1D713856"/>
    <w:rsid w:val="1E141DBD"/>
    <w:rsid w:val="1E5636D9"/>
    <w:rsid w:val="1EC66617"/>
    <w:rsid w:val="1EDA3596"/>
    <w:rsid w:val="1EE22967"/>
    <w:rsid w:val="1F13400C"/>
    <w:rsid w:val="1F686396"/>
    <w:rsid w:val="1F923232"/>
    <w:rsid w:val="1F9F09B6"/>
    <w:rsid w:val="20FD7FD1"/>
    <w:rsid w:val="21CD06D7"/>
    <w:rsid w:val="22AF2B85"/>
    <w:rsid w:val="22CF7EB2"/>
    <w:rsid w:val="22D42C6E"/>
    <w:rsid w:val="22E52653"/>
    <w:rsid w:val="23302842"/>
    <w:rsid w:val="234D04F3"/>
    <w:rsid w:val="23980BE8"/>
    <w:rsid w:val="24845016"/>
    <w:rsid w:val="24966E72"/>
    <w:rsid w:val="24B27DD3"/>
    <w:rsid w:val="252F1388"/>
    <w:rsid w:val="257D4A39"/>
    <w:rsid w:val="25B26D5A"/>
    <w:rsid w:val="25D9029E"/>
    <w:rsid w:val="264204CC"/>
    <w:rsid w:val="266A6D0E"/>
    <w:rsid w:val="26882978"/>
    <w:rsid w:val="274A31AB"/>
    <w:rsid w:val="27FA0FA5"/>
    <w:rsid w:val="289814E9"/>
    <w:rsid w:val="2950615C"/>
    <w:rsid w:val="29B505B2"/>
    <w:rsid w:val="29E332A8"/>
    <w:rsid w:val="2A10168D"/>
    <w:rsid w:val="2A324B1D"/>
    <w:rsid w:val="2ACF7FBF"/>
    <w:rsid w:val="2B5A7C49"/>
    <w:rsid w:val="2B5B07F4"/>
    <w:rsid w:val="2BBB7F2E"/>
    <w:rsid w:val="2C1D63B7"/>
    <w:rsid w:val="2D1D6FE0"/>
    <w:rsid w:val="2E0B2BC9"/>
    <w:rsid w:val="2E412A39"/>
    <w:rsid w:val="2EB27D52"/>
    <w:rsid w:val="2F132A17"/>
    <w:rsid w:val="2F6C6F32"/>
    <w:rsid w:val="2F8D7AC5"/>
    <w:rsid w:val="2FA0379A"/>
    <w:rsid w:val="2FDC18EE"/>
    <w:rsid w:val="2FE30CC4"/>
    <w:rsid w:val="309A18EE"/>
    <w:rsid w:val="312056C0"/>
    <w:rsid w:val="328533C1"/>
    <w:rsid w:val="331E47C4"/>
    <w:rsid w:val="34B4345D"/>
    <w:rsid w:val="34DE6328"/>
    <w:rsid w:val="34E63F9E"/>
    <w:rsid w:val="35092913"/>
    <w:rsid w:val="35B55F2B"/>
    <w:rsid w:val="35BC3245"/>
    <w:rsid w:val="35E70C9D"/>
    <w:rsid w:val="36971F4F"/>
    <w:rsid w:val="36B71B05"/>
    <w:rsid w:val="37075E57"/>
    <w:rsid w:val="374B0AB7"/>
    <w:rsid w:val="379545B7"/>
    <w:rsid w:val="37C86B30"/>
    <w:rsid w:val="385337CD"/>
    <w:rsid w:val="386823EB"/>
    <w:rsid w:val="386B6858"/>
    <w:rsid w:val="3A8E5574"/>
    <w:rsid w:val="3ACE7FFB"/>
    <w:rsid w:val="3B065CE4"/>
    <w:rsid w:val="3B54623C"/>
    <w:rsid w:val="3B5E3291"/>
    <w:rsid w:val="3B973B31"/>
    <w:rsid w:val="3BCE681F"/>
    <w:rsid w:val="3C014F1C"/>
    <w:rsid w:val="3D43603D"/>
    <w:rsid w:val="3DAB1B8A"/>
    <w:rsid w:val="3DAC0843"/>
    <w:rsid w:val="3DCF1746"/>
    <w:rsid w:val="3E430AC5"/>
    <w:rsid w:val="3E610089"/>
    <w:rsid w:val="3E675F89"/>
    <w:rsid w:val="3EED60C4"/>
    <w:rsid w:val="3EF50E7F"/>
    <w:rsid w:val="3F3F4320"/>
    <w:rsid w:val="3FD26047"/>
    <w:rsid w:val="3FE77469"/>
    <w:rsid w:val="41090A9B"/>
    <w:rsid w:val="41595222"/>
    <w:rsid w:val="41605D4F"/>
    <w:rsid w:val="41A36B50"/>
    <w:rsid w:val="41D10AA3"/>
    <w:rsid w:val="42174FF1"/>
    <w:rsid w:val="42E31CCF"/>
    <w:rsid w:val="42F86521"/>
    <w:rsid w:val="43F715FA"/>
    <w:rsid w:val="44147E0B"/>
    <w:rsid w:val="446859DE"/>
    <w:rsid w:val="44C14D13"/>
    <w:rsid w:val="44D72076"/>
    <w:rsid w:val="459D48A6"/>
    <w:rsid w:val="4703102D"/>
    <w:rsid w:val="472B0E49"/>
    <w:rsid w:val="47523FB9"/>
    <w:rsid w:val="489B4D2F"/>
    <w:rsid w:val="48B31ADE"/>
    <w:rsid w:val="48EA64A9"/>
    <w:rsid w:val="48EB60DA"/>
    <w:rsid w:val="499B3566"/>
    <w:rsid w:val="4A5828EC"/>
    <w:rsid w:val="4B5E0F27"/>
    <w:rsid w:val="4BA24F39"/>
    <w:rsid w:val="4C5B5467"/>
    <w:rsid w:val="4C5F3406"/>
    <w:rsid w:val="4C6764A1"/>
    <w:rsid w:val="4C86081A"/>
    <w:rsid w:val="4D09187D"/>
    <w:rsid w:val="4D65188B"/>
    <w:rsid w:val="4E61394D"/>
    <w:rsid w:val="4F762976"/>
    <w:rsid w:val="4F892C86"/>
    <w:rsid w:val="503A0006"/>
    <w:rsid w:val="50984271"/>
    <w:rsid w:val="514C04A7"/>
    <w:rsid w:val="52262993"/>
    <w:rsid w:val="5375567F"/>
    <w:rsid w:val="53CC27D5"/>
    <w:rsid w:val="544179DB"/>
    <w:rsid w:val="548018E9"/>
    <w:rsid w:val="552D6F89"/>
    <w:rsid w:val="568063E3"/>
    <w:rsid w:val="58C120EC"/>
    <w:rsid w:val="59385F32"/>
    <w:rsid w:val="595139E3"/>
    <w:rsid w:val="5952136C"/>
    <w:rsid w:val="59995C23"/>
    <w:rsid w:val="59E46492"/>
    <w:rsid w:val="5A0826D0"/>
    <w:rsid w:val="5AB8696B"/>
    <w:rsid w:val="5AB96664"/>
    <w:rsid w:val="5B062376"/>
    <w:rsid w:val="5B333113"/>
    <w:rsid w:val="5B7377AF"/>
    <w:rsid w:val="5BC1604D"/>
    <w:rsid w:val="5C83237D"/>
    <w:rsid w:val="5CB84210"/>
    <w:rsid w:val="5CB93709"/>
    <w:rsid w:val="5D397E8E"/>
    <w:rsid w:val="5E681552"/>
    <w:rsid w:val="5EA056B0"/>
    <w:rsid w:val="5EB21D38"/>
    <w:rsid w:val="5EE00FFC"/>
    <w:rsid w:val="5F5C2037"/>
    <w:rsid w:val="5FA60897"/>
    <w:rsid w:val="5FC81862"/>
    <w:rsid w:val="61B91993"/>
    <w:rsid w:val="61B97DCF"/>
    <w:rsid w:val="62B00DA9"/>
    <w:rsid w:val="63C360A9"/>
    <w:rsid w:val="63C876C0"/>
    <w:rsid w:val="640179BE"/>
    <w:rsid w:val="647E66B5"/>
    <w:rsid w:val="656E263B"/>
    <w:rsid w:val="661B189A"/>
    <w:rsid w:val="664E3B3A"/>
    <w:rsid w:val="6657216D"/>
    <w:rsid w:val="668B4E65"/>
    <w:rsid w:val="675A5F9F"/>
    <w:rsid w:val="68200181"/>
    <w:rsid w:val="6824007F"/>
    <w:rsid w:val="6824280B"/>
    <w:rsid w:val="682571A2"/>
    <w:rsid w:val="68C83A2C"/>
    <w:rsid w:val="693C1276"/>
    <w:rsid w:val="696C37E7"/>
    <w:rsid w:val="69855E1E"/>
    <w:rsid w:val="6A5816A5"/>
    <w:rsid w:val="6ABE7FF0"/>
    <w:rsid w:val="6ACB0C67"/>
    <w:rsid w:val="6B430C2A"/>
    <w:rsid w:val="6B70537E"/>
    <w:rsid w:val="6C1C0317"/>
    <w:rsid w:val="6C975BF0"/>
    <w:rsid w:val="6CCE3787"/>
    <w:rsid w:val="6D252E26"/>
    <w:rsid w:val="6D6F3A99"/>
    <w:rsid w:val="6DB67C47"/>
    <w:rsid w:val="6DC62B92"/>
    <w:rsid w:val="6DD4164D"/>
    <w:rsid w:val="6E592A18"/>
    <w:rsid w:val="6E626AAF"/>
    <w:rsid w:val="6E7A05EB"/>
    <w:rsid w:val="6F8234FE"/>
    <w:rsid w:val="702B6E39"/>
    <w:rsid w:val="71B83FED"/>
    <w:rsid w:val="724D5CE2"/>
    <w:rsid w:val="72B44C25"/>
    <w:rsid w:val="73131BAA"/>
    <w:rsid w:val="737A347B"/>
    <w:rsid w:val="73D16CBB"/>
    <w:rsid w:val="747607E0"/>
    <w:rsid w:val="75014FA5"/>
    <w:rsid w:val="75521EB7"/>
    <w:rsid w:val="75BC66C7"/>
    <w:rsid w:val="76027682"/>
    <w:rsid w:val="7613068F"/>
    <w:rsid w:val="762873AA"/>
    <w:rsid w:val="76C80BF0"/>
    <w:rsid w:val="76E518F1"/>
    <w:rsid w:val="77C27B1B"/>
    <w:rsid w:val="78A92D54"/>
    <w:rsid w:val="78EB6C02"/>
    <w:rsid w:val="799C161B"/>
    <w:rsid w:val="79EFEE07"/>
    <w:rsid w:val="7A0E68E5"/>
    <w:rsid w:val="7A2A00A3"/>
    <w:rsid w:val="7A456C8B"/>
    <w:rsid w:val="7A7E219D"/>
    <w:rsid w:val="7A9717B8"/>
    <w:rsid w:val="7B300F4F"/>
    <w:rsid w:val="7B3D45BD"/>
    <w:rsid w:val="7C467696"/>
    <w:rsid w:val="7CB8661F"/>
    <w:rsid w:val="7CCC7560"/>
    <w:rsid w:val="7CDA6C54"/>
    <w:rsid w:val="7DDF0A6F"/>
    <w:rsid w:val="7E310807"/>
    <w:rsid w:val="7E931E96"/>
    <w:rsid w:val="7E955D07"/>
    <w:rsid w:val="7E963490"/>
    <w:rsid w:val="7ECD3FB8"/>
    <w:rsid w:val="7FE66071"/>
    <w:rsid w:val="7FEBFB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5">
    <w:name w:val="heading 4"/>
    <w:basedOn w:val="1"/>
    <w:next w:val="1"/>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6">
    <w:name w:val="Body Text"/>
    <w:basedOn w:val="1"/>
    <w:unhideWhenUsed/>
    <w:qFormat/>
    <w:uiPriority w:val="1"/>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6740</Words>
  <Characters>7387</Characters>
  <Lines>0</Lines>
  <Paragraphs>0</Paragraphs>
  <TotalTime>116</TotalTime>
  <ScaleCrop>false</ScaleCrop>
  <LinksUpToDate>false</LinksUpToDate>
  <CharactersWithSpaces>7458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2022-10-26T03:17:00Z</dcterms:created>
  <dc:creator>Air</dc:creator>
  <cp:lastModifiedBy>xunshizu</cp:lastModifiedBy>
  <dcterms:modified xsi:type="dcterms:W3CDTF">2023-02-02T08:54:53Z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2C7125C3F372424689B2C61929844D8C</vt:lpwstr>
  </property>
</Properties>
</file>